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4EF" w:rsidRPr="00ED3EDC" w:rsidRDefault="00D264EF" w:rsidP="00D264EF">
      <w:pPr>
        <w:rPr>
          <w:rFonts w:ascii="Trebuchet MS" w:hAnsi="Trebuchet MS" w:cs="Arial"/>
          <w:sz w:val="22"/>
          <w:szCs w:val="22"/>
          <w:u w:val="single"/>
          <w:lang w:val="en-AU"/>
        </w:rPr>
      </w:pPr>
      <w:r w:rsidRPr="00F205B0">
        <w:rPr>
          <w:rFonts w:cs="Arial"/>
          <w:noProof/>
          <w:lang w:val="en-CA" w:eastAsia="en-CA"/>
        </w:rPr>
        <w:drawing>
          <wp:inline distT="0" distB="0" distL="0" distR="0" wp14:anchorId="70741064" wp14:editId="2FA5D287">
            <wp:extent cx="1190625" cy="671488"/>
            <wp:effectExtent l="0" t="0" r="0" b="0"/>
            <wp:docPr id="1" name="Picture 1" title="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6536" cy="703021"/>
                    </a:xfrm>
                    <a:prstGeom prst="rect">
                      <a:avLst/>
                    </a:prstGeom>
                    <a:noFill/>
                    <a:ln>
                      <a:noFill/>
                    </a:ln>
                  </pic:spPr>
                </pic:pic>
              </a:graphicData>
            </a:graphic>
          </wp:inline>
        </w:drawing>
      </w:r>
    </w:p>
    <w:p w:rsidR="00FA7D65" w:rsidRDefault="00D264EF" w:rsidP="00D264EF">
      <w:pPr>
        <w:pStyle w:val="Heading1"/>
        <w:spacing w:after="100" w:afterAutospacing="1"/>
        <w:rPr>
          <w:b/>
          <w:color w:val="auto"/>
          <w:sz w:val="36"/>
          <w:szCs w:val="36"/>
          <w:lang w:val="en-CA" w:eastAsia="en-CA"/>
        </w:rPr>
      </w:pPr>
      <w:r w:rsidRPr="00D264EF">
        <w:rPr>
          <w:b/>
          <w:color w:val="auto"/>
          <w:sz w:val="36"/>
          <w:szCs w:val="36"/>
          <w:lang w:val="en-CA" w:eastAsia="en-CA"/>
        </w:rPr>
        <w:t>Accessible Format Requests</w:t>
      </w:r>
      <w:r>
        <w:rPr>
          <w:b/>
          <w:color w:val="auto"/>
          <w:sz w:val="36"/>
          <w:szCs w:val="36"/>
          <w:lang w:val="en-CA" w:eastAsia="en-CA"/>
        </w:rPr>
        <w:t xml:space="preserve"> Guideline</w:t>
      </w:r>
    </w:p>
    <w:p w:rsidR="00D264EF" w:rsidRDefault="00D264EF" w:rsidP="00D264EF">
      <w:pPr>
        <w:pStyle w:val="Header"/>
        <w:spacing w:after="100" w:afterAutospacing="1"/>
        <w:rPr>
          <w:rFonts w:asciiTheme="minorHAnsi" w:hAnsiTheme="minorHAnsi" w:cstheme="minorHAnsi"/>
          <w:sz w:val="24"/>
          <w:szCs w:val="24"/>
          <w:lang w:val="en-CA" w:eastAsia="en-CA"/>
        </w:rPr>
      </w:pPr>
      <w:r w:rsidRPr="00D264EF">
        <w:rPr>
          <w:rFonts w:asciiTheme="minorHAnsi" w:hAnsiTheme="minorHAnsi" w:cstheme="minorHAnsi"/>
          <w:sz w:val="24"/>
          <w:szCs w:val="24"/>
          <w:lang w:val="en-CA" w:eastAsia="en-CA"/>
        </w:rPr>
        <w:t>Contact Officer: Institutional Accessibility Advisor, Centre for Human Rights, Equity and Accessibility.</w:t>
      </w:r>
    </w:p>
    <w:p w:rsidR="00D264EF" w:rsidRPr="00D264EF" w:rsidRDefault="00D264EF" w:rsidP="00D264EF">
      <w:pPr>
        <w:pStyle w:val="Heading2"/>
        <w:spacing w:after="100" w:afterAutospacing="1"/>
        <w:rPr>
          <w:rFonts w:asciiTheme="minorHAnsi" w:hAnsiTheme="minorHAnsi" w:cstheme="minorHAnsi"/>
          <w:color w:val="auto"/>
          <w:sz w:val="32"/>
          <w:szCs w:val="32"/>
          <w:lang w:val="en-CA" w:eastAsia="en-CA"/>
        </w:rPr>
      </w:pPr>
      <w:r w:rsidRPr="00D264EF">
        <w:rPr>
          <w:rFonts w:asciiTheme="minorHAnsi" w:hAnsiTheme="minorHAnsi" w:cstheme="minorHAnsi"/>
          <w:color w:val="auto"/>
          <w:sz w:val="32"/>
          <w:szCs w:val="32"/>
          <w:lang w:val="en-CA" w:eastAsia="en-CA"/>
        </w:rPr>
        <w:t>Purpose</w:t>
      </w:r>
    </w:p>
    <w:p w:rsidR="00D264EF" w:rsidRPr="00D264EF" w:rsidRDefault="00D264EF" w:rsidP="00D264EF">
      <w:pPr>
        <w:pStyle w:val="Header"/>
        <w:spacing w:after="100" w:afterAutospacing="1"/>
        <w:rPr>
          <w:rFonts w:asciiTheme="minorHAnsi" w:hAnsiTheme="minorHAnsi" w:cstheme="minorHAnsi"/>
          <w:sz w:val="24"/>
          <w:szCs w:val="24"/>
          <w:lang w:val="en-CA" w:eastAsia="en-CA"/>
        </w:rPr>
      </w:pPr>
      <w:r w:rsidRPr="00D264EF">
        <w:rPr>
          <w:rFonts w:asciiTheme="minorHAnsi" w:hAnsiTheme="minorHAnsi" w:cstheme="minorHAnsi"/>
          <w:sz w:val="24"/>
          <w:szCs w:val="24"/>
          <w:lang w:val="en-CA" w:eastAsia="en-CA"/>
        </w:rPr>
        <w:t xml:space="preserve">Provide direction to staff and faculty on the manner in which to respond to requests for documents in accessible formats or requests for specific communication supports made by individuals to the University under the Accessibility for Ontarians with Disabilities Act (AODA). </w:t>
      </w:r>
    </w:p>
    <w:p w:rsidR="00D264EF" w:rsidRPr="00D264EF" w:rsidRDefault="00D264EF" w:rsidP="00D264EF">
      <w:pPr>
        <w:pStyle w:val="Heading2"/>
        <w:spacing w:after="100" w:afterAutospacing="1"/>
        <w:rPr>
          <w:rFonts w:asciiTheme="minorHAnsi" w:hAnsiTheme="minorHAnsi" w:cstheme="minorHAnsi"/>
          <w:sz w:val="32"/>
          <w:szCs w:val="32"/>
          <w:lang w:val="en-CA" w:eastAsia="en-CA"/>
        </w:rPr>
      </w:pPr>
      <w:r w:rsidRPr="00D264EF">
        <w:rPr>
          <w:rFonts w:asciiTheme="minorHAnsi" w:hAnsiTheme="minorHAnsi" w:cstheme="minorHAnsi"/>
          <w:color w:val="auto"/>
          <w:sz w:val="32"/>
          <w:szCs w:val="32"/>
          <w:lang w:val="en-CA" w:eastAsia="en-CA"/>
        </w:rPr>
        <w:t>Guideline</w:t>
      </w:r>
      <w:r w:rsidRPr="00D264EF">
        <w:rPr>
          <w:rFonts w:asciiTheme="minorHAnsi" w:hAnsiTheme="minorHAnsi" w:cstheme="minorHAnsi"/>
          <w:sz w:val="32"/>
          <w:szCs w:val="32"/>
          <w:lang w:val="en-CA" w:eastAsia="en-CA"/>
        </w:rPr>
        <w:tab/>
      </w:r>
    </w:p>
    <w:p w:rsidR="00D264EF" w:rsidRPr="00D264EF" w:rsidRDefault="00D264EF" w:rsidP="00D264EF">
      <w:pPr>
        <w:pStyle w:val="Header"/>
        <w:spacing w:after="100" w:afterAutospacing="1"/>
        <w:rPr>
          <w:rFonts w:asciiTheme="minorHAnsi" w:hAnsiTheme="minorHAnsi" w:cstheme="minorHAnsi"/>
          <w:sz w:val="24"/>
          <w:szCs w:val="24"/>
          <w:lang w:val="en-CA" w:eastAsia="en-CA"/>
        </w:rPr>
      </w:pPr>
      <w:r w:rsidRPr="00D264EF">
        <w:rPr>
          <w:rFonts w:asciiTheme="minorHAnsi" w:hAnsiTheme="minorHAnsi" w:cstheme="minorHAnsi"/>
          <w:sz w:val="24"/>
          <w:szCs w:val="24"/>
          <w:lang w:val="en-CA" w:eastAsia="en-CA"/>
        </w:rPr>
        <w:t xml:space="preserve">When possible, departments should receive and respond to requests for accessible formats and communication supports directly with the individual making the request. Staff and faculty are encouraged to consult the “Website Resources” page of the Marketing and Communications website to gain information on accessible creation of websites and documents. </w:t>
      </w:r>
    </w:p>
    <w:p w:rsidR="00D264EF" w:rsidRPr="00D264EF" w:rsidRDefault="00D264EF" w:rsidP="00D264EF">
      <w:pPr>
        <w:pStyle w:val="Header"/>
        <w:spacing w:after="100" w:afterAutospacing="1"/>
        <w:rPr>
          <w:rFonts w:asciiTheme="minorHAnsi" w:hAnsiTheme="minorHAnsi" w:cstheme="minorHAnsi"/>
          <w:sz w:val="24"/>
          <w:szCs w:val="24"/>
          <w:lang w:val="en-CA" w:eastAsia="en-CA"/>
        </w:rPr>
      </w:pPr>
      <w:r w:rsidRPr="00D264EF">
        <w:rPr>
          <w:rFonts w:asciiTheme="minorHAnsi" w:hAnsiTheme="minorHAnsi" w:cstheme="minorHAnsi"/>
          <w:sz w:val="24"/>
          <w:szCs w:val="24"/>
          <w:lang w:val="en-CA" w:eastAsia="en-CA"/>
        </w:rPr>
        <w:t xml:space="preserve">When a department requires additional information or support in meeting such a request, the department is responsible for contacting the Centre for Human Rights, Equity and Accessibility (CHREA). CHREA will then work with the department and the individual in order to meet this request in a timely manner, taking into account the needs of the individual requesting support and the resources/capacity of the University. Information and support provided by CHREA may include providing departments with further direction on creating accessible documents and providing clarification and support in accessing appropriate resources for conversion of materials. </w:t>
      </w:r>
    </w:p>
    <w:p w:rsidR="00D264EF" w:rsidRPr="00D264EF" w:rsidRDefault="00D264EF" w:rsidP="00D264EF">
      <w:pPr>
        <w:pStyle w:val="Header"/>
        <w:spacing w:after="100" w:afterAutospacing="1"/>
        <w:rPr>
          <w:rFonts w:asciiTheme="minorHAnsi" w:hAnsiTheme="minorHAnsi" w:cstheme="minorHAnsi"/>
          <w:sz w:val="24"/>
          <w:szCs w:val="24"/>
          <w:lang w:val="en-CA" w:eastAsia="en-CA"/>
        </w:rPr>
      </w:pPr>
      <w:r w:rsidRPr="00D264EF">
        <w:rPr>
          <w:rFonts w:asciiTheme="minorHAnsi" w:hAnsiTheme="minorHAnsi" w:cstheme="minorHAnsi"/>
          <w:sz w:val="24"/>
          <w:szCs w:val="24"/>
          <w:lang w:val="en-CA" w:eastAsia="en-CA"/>
        </w:rPr>
        <w:t xml:space="preserve">Requests made directly to CHREA will be referred to the relevant department. CHREA will provide necessary support to departments in meeting requests, as outlined above. Departments are generally responsible for creating and converting documents and any related costs. </w:t>
      </w:r>
    </w:p>
    <w:p w:rsidR="00D264EF" w:rsidRDefault="00D264EF" w:rsidP="00D264EF">
      <w:pPr>
        <w:pStyle w:val="Header"/>
        <w:spacing w:after="100" w:afterAutospacing="1"/>
        <w:rPr>
          <w:rFonts w:asciiTheme="minorHAnsi" w:hAnsiTheme="minorHAnsi" w:cstheme="minorHAnsi"/>
          <w:sz w:val="24"/>
          <w:szCs w:val="24"/>
          <w:lang w:val="en-CA" w:eastAsia="en-CA"/>
        </w:rPr>
      </w:pPr>
      <w:r w:rsidRPr="00D264EF">
        <w:rPr>
          <w:rFonts w:asciiTheme="minorHAnsi" w:hAnsiTheme="minorHAnsi" w:cstheme="minorHAnsi"/>
          <w:sz w:val="24"/>
          <w:szCs w:val="24"/>
          <w:lang w:val="en-CA" w:eastAsia="en-CA"/>
        </w:rPr>
        <w:t>Under the AODA, when requests for accessible formats or communication supports cannot be met, either because a type of information cannot be converted or the University does not have access to required technology for converting the information, the University is required to provide an explanation to the requesting individual as to why the information cannot be converted. A summary of requested information is also required to be provided to the individual.</w:t>
      </w:r>
    </w:p>
    <w:p w:rsidR="00D264EF" w:rsidRDefault="00D264EF" w:rsidP="00D264EF">
      <w:pPr>
        <w:pStyle w:val="Header"/>
        <w:spacing w:after="100" w:afterAutospacing="1"/>
        <w:rPr>
          <w:rFonts w:asciiTheme="minorHAnsi" w:hAnsiTheme="minorHAnsi" w:cstheme="minorHAnsi"/>
          <w:sz w:val="24"/>
          <w:szCs w:val="24"/>
          <w:lang w:val="en-CA" w:eastAsia="en-CA"/>
        </w:rPr>
      </w:pPr>
      <w:r w:rsidRPr="00D264EF">
        <w:rPr>
          <w:rFonts w:asciiTheme="minorHAnsi" w:hAnsiTheme="minorHAnsi" w:cstheme="minorHAnsi"/>
          <w:sz w:val="24"/>
          <w:szCs w:val="24"/>
          <w:lang w:val="en-CA" w:eastAsia="en-CA"/>
        </w:rPr>
        <w:lastRenderedPageBreak/>
        <w:t xml:space="preserve">Current students requiring accessible formats of course materials should contact Student Accessibility Services (SAS). Bata Library and the Trent Bookstore can work in conjunction with SAS to provide access to accessible textbooks and resources. </w:t>
      </w:r>
    </w:p>
    <w:p w:rsidR="00D264EF" w:rsidRPr="00D264EF" w:rsidRDefault="00D264EF" w:rsidP="00D264EF">
      <w:pPr>
        <w:pStyle w:val="Heading2"/>
        <w:spacing w:after="100" w:afterAutospacing="1"/>
        <w:rPr>
          <w:rFonts w:asciiTheme="minorHAnsi" w:hAnsiTheme="minorHAnsi" w:cstheme="minorHAnsi"/>
          <w:color w:val="auto"/>
          <w:sz w:val="32"/>
          <w:szCs w:val="32"/>
          <w:lang w:val="en-CA" w:eastAsia="en-CA"/>
        </w:rPr>
      </w:pPr>
      <w:r w:rsidRPr="00D264EF">
        <w:rPr>
          <w:rFonts w:asciiTheme="minorHAnsi" w:hAnsiTheme="minorHAnsi" w:cstheme="minorHAnsi"/>
          <w:color w:val="auto"/>
          <w:sz w:val="32"/>
          <w:szCs w:val="32"/>
          <w:lang w:val="en-CA" w:eastAsia="en-CA"/>
        </w:rPr>
        <w:t>Related Policies / Procedures</w:t>
      </w:r>
    </w:p>
    <w:p w:rsidR="00D264EF" w:rsidRPr="00D264EF" w:rsidRDefault="00D264EF" w:rsidP="00D264EF">
      <w:pPr>
        <w:pStyle w:val="Header"/>
        <w:spacing w:after="100" w:afterAutospacing="1"/>
        <w:rPr>
          <w:sz w:val="24"/>
          <w:szCs w:val="24"/>
          <w:lang w:val="en-CA" w:eastAsia="en-CA"/>
        </w:rPr>
      </w:pPr>
      <w:hyperlink r:id="rId7" w:history="1">
        <w:r w:rsidRPr="00D264EF">
          <w:rPr>
            <w:rStyle w:val="Hyperlink"/>
            <w:rFonts w:asciiTheme="minorHAnsi" w:hAnsiTheme="minorHAnsi" w:cstheme="minorHAnsi"/>
            <w:sz w:val="24"/>
            <w:szCs w:val="24"/>
            <w:lang w:val="en-CA" w:eastAsia="en-CA"/>
          </w:rPr>
          <w:t>Accessibility Policy</w:t>
        </w:r>
      </w:hyperlink>
      <w:r>
        <w:rPr>
          <w:rFonts w:asciiTheme="minorHAnsi" w:hAnsiTheme="minorHAnsi" w:cstheme="minorHAnsi"/>
          <w:sz w:val="24"/>
          <w:szCs w:val="24"/>
          <w:lang w:val="en-CA" w:eastAsia="en-CA"/>
        </w:rPr>
        <w:t xml:space="preserve"> (URL: </w:t>
      </w:r>
      <w:r w:rsidRPr="00D264EF">
        <w:rPr>
          <w:rFonts w:asciiTheme="minorHAnsi" w:hAnsiTheme="minorHAnsi" w:cstheme="minorHAnsi"/>
          <w:sz w:val="24"/>
          <w:szCs w:val="24"/>
          <w:lang w:val="en-CA" w:eastAsia="en-CA"/>
        </w:rPr>
        <w:t>https://www.trentu.ca/administration/pdfs/Accessibility.pdf</w:t>
      </w:r>
      <w:r>
        <w:rPr>
          <w:rFonts w:asciiTheme="minorHAnsi" w:hAnsiTheme="minorHAnsi" w:cstheme="minorHAnsi"/>
          <w:sz w:val="24"/>
          <w:szCs w:val="24"/>
          <w:lang w:val="en-CA" w:eastAsia="en-CA"/>
        </w:rPr>
        <w:t>)</w:t>
      </w:r>
      <w:bookmarkStart w:id="0" w:name="_GoBack"/>
      <w:bookmarkEnd w:id="0"/>
      <w:r w:rsidRPr="00D264EF">
        <w:rPr>
          <w:sz w:val="24"/>
          <w:szCs w:val="24"/>
          <w:lang w:val="en-CA" w:eastAsia="en-CA"/>
        </w:rPr>
        <w:t xml:space="preserve"> </w:t>
      </w:r>
    </w:p>
    <w:p w:rsidR="00D264EF" w:rsidRPr="00D264EF" w:rsidRDefault="00D264EF" w:rsidP="00D264EF">
      <w:pPr>
        <w:rPr>
          <w:sz w:val="24"/>
          <w:szCs w:val="24"/>
          <w:lang w:val="en-CA" w:eastAsia="en-CA"/>
        </w:rPr>
      </w:pPr>
    </w:p>
    <w:sectPr w:rsidR="00D264EF" w:rsidRPr="00D264E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4EF" w:rsidRDefault="00D264EF" w:rsidP="00D264EF">
      <w:r>
        <w:separator/>
      </w:r>
    </w:p>
  </w:endnote>
  <w:endnote w:type="continuationSeparator" w:id="0">
    <w:p w:rsidR="00D264EF" w:rsidRDefault="00D264EF" w:rsidP="00D26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904053"/>
      <w:docPartObj>
        <w:docPartGallery w:val="Page Numbers (Bottom of Page)"/>
        <w:docPartUnique/>
      </w:docPartObj>
    </w:sdtPr>
    <w:sdtContent>
      <w:sdt>
        <w:sdtPr>
          <w:id w:val="-1769616900"/>
          <w:docPartObj>
            <w:docPartGallery w:val="Page Numbers (Top of Page)"/>
            <w:docPartUnique/>
          </w:docPartObj>
        </w:sdtPr>
        <w:sdtContent>
          <w:p w:rsidR="00D264EF" w:rsidRDefault="00D264E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E4EC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E4EC0">
              <w:rPr>
                <w:b/>
                <w:bCs/>
                <w:noProof/>
              </w:rPr>
              <w:t>2</w:t>
            </w:r>
            <w:r>
              <w:rPr>
                <w:b/>
                <w:bCs/>
                <w:sz w:val="24"/>
                <w:szCs w:val="24"/>
              </w:rPr>
              <w:fldChar w:fldCharType="end"/>
            </w:r>
          </w:p>
        </w:sdtContent>
      </w:sdt>
    </w:sdtContent>
  </w:sdt>
  <w:p w:rsidR="00D264EF" w:rsidRDefault="00D26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4EF" w:rsidRDefault="00D264EF" w:rsidP="00D264EF">
      <w:r>
        <w:separator/>
      </w:r>
    </w:p>
  </w:footnote>
  <w:footnote w:type="continuationSeparator" w:id="0">
    <w:p w:rsidR="00D264EF" w:rsidRDefault="00D264EF" w:rsidP="00D26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4EF" w:rsidRPr="00D264EF" w:rsidRDefault="00D264EF">
    <w:pPr>
      <w:pStyle w:val="Header"/>
      <w:rPr>
        <w:rFonts w:asciiTheme="minorHAnsi" w:hAnsiTheme="minorHAnsi" w:cstheme="minorHAnsi"/>
        <w:sz w:val="24"/>
        <w:szCs w:val="24"/>
      </w:rPr>
    </w:pPr>
    <w:r w:rsidRPr="00D264EF">
      <w:rPr>
        <w:rFonts w:asciiTheme="minorHAnsi" w:hAnsiTheme="minorHAnsi" w:cstheme="minorHAnsi"/>
        <w:sz w:val="24"/>
        <w:szCs w:val="24"/>
      </w:rPr>
      <w:t>Accessible Format Request</w:t>
    </w:r>
    <w:r>
      <w:rPr>
        <w:rFonts w:asciiTheme="minorHAnsi" w:hAnsiTheme="minorHAnsi" w:cstheme="minorHAnsi"/>
        <w:sz w:val="24"/>
        <w:szCs w:val="24"/>
      </w:rPr>
      <w:t>s</w:t>
    </w:r>
    <w:r w:rsidRPr="00D264EF">
      <w:rPr>
        <w:rFonts w:asciiTheme="minorHAnsi" w:hAnsiTheme="minorHAnsi" w:cstheme="minorHAnsi"/>
        <w:sz w:val="24"/>
        <w:szCs w:val="24"/>
      </w:rPr>
      <w:t xml:space="preserve"> Guideline – November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4EF"/>
    <w:rsid w:val="006773D0"/>
    <w:rsid w:val="009E4EC0"/>
    <w:rsid w:val="00D264EF"/>
    <w:rsid w:val="00FA7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3BE86"/>
  <w15:chartTrackingRefBased/>
  <w15:docId w15:val="{53026DD7-19DC-4C97-859C-7C7AD77A6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4EF"/>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D264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264E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264EF"/>
    <w:pPr>
      <w:tabs>
        <w:tab w:val="center" w:pos="4320"/>
        <w:tab w:val="right" w:pos="8640"/>
      </w:tabs>
    </w:pPr>
  </w:style>
  <w:style w:type="character" w:customStyle="1" w:styleId="HeaderChar">
    <w:name w:val="Header Char"/>
    <w:basedOn w:val="DefaultParagraphFont"/>
    <w:link w:val="Header"/>
    <w:rsid w:val="00D264EF"/>
    <w:rPr>
      <w:rFonts w:ascii="Arial" w:eastAsia="Times New Roman" w:hAnsi="Arial" w:cs="Times New Roman"/>
      <w:sz w:val="20"/>
      <w:szCs w:val="20"/>
    </w:rPr>
  </w:style>
  <w:style w:type="character" w:customStyle="1" w:styleId="Heading1Char">
    <w:name w:val="Heading 1 Char"/>
    <w:basedOn w:val="DefaultParagraphFont"/>
    <w:link w:val="Heading1"/>
    <w:uiPriority w:val="9"/>
    <w:rsid w:val="00D264E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264EF"/>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D264EF"/>
    <w:rPr>
      <w:sz w:val="16"/>
      <w:szCs w:val="16"/>
    </w:rPr>
  </w:style>
  <w:style w:type="paragraph" w:styleId="CommentText">
    <w:name w:val="annotation text"/>
    <w:basedOn w:val="Normal"/>
    <w:link w:val="CommentTextChar"/>
    <w:uiPriority w:val="99"/>
    <w:semiHidden/>
    <w:unhideWhenUsed/>
    <w:rsid w:val="00D264EF"/>
  </w:style>
  <w:style w:type="character" w:customStyle="1" w:styleId="CommentTextChar">
    <w:name w:val="Comment Text Char"/>
    <w:basedOn w:val="DefaultParagraphFont"/>
    <w:link w:val="CommentText"/>
    <w:uiPriority w:val="99"/>
    <w:semiHidden/>
    <w:rsid w:val="00D264E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264EF"/>
    <w:rPr>
      <w:b/>
      <w:bCs/>
    </w:rPr>
  </w:style>
  <w:style w:type="character" w:customStyle="1" w:styleId="CommentSubjectChar">
    <w:name w:val="Comment Subject Char"/>
    <w:basedOn w:val="CommentTextChar"/>
    <w:link w:val="CommentSubject"/>
    <w:uiPriority w:val="99"/>
    <w:semiHidden/>
    <w:rsid w:val="00D264EF"/>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D264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4EF"/>
    <w:rPr>
      <w:rFonts w:ascii="Segoe UI" w:eastAsia="Times New Roman" w:hAnsi="Segoe UI" w:cs="Segoe UI"/>
      <w:sz w:val="18"/>
      <w:szCs w:val="18"/>
    </w:rPr>
  </w:style>
  <w:style w:type="character" w:styleId="Hyperlink">
    <w:name w:val="Hyperlink"/>
    <w:basedOn w:val="DefaultParagraphFont"/>
    <w:uiPriority w:val="99"/>
    <w:unhideWhenUsed/>
    <w:rsid w:val="00D264EF"/>
    <w:rPr>
      <w:color w:val="0563C1" w:themeColor="hyperlink"/>
      <w:u w:val="single"/>
    </w:rPr>
  </w:style>
  <w:style w:type="paragraph" w:styleId="Footer">
    <w:name w:val="footer"/>
    <w:basedOn w:val="Normal"/>
    <w:link w:val="FooterChar"/>
    <w:uiPriority w:val="99"/>
    <w:unhideWhenUsed/>
    <w:rsid w:val="00D264EF"/>
    <w:pPr>
      <w:tabs>
        <w:tab w:val="center" w:pos="4680"/>
        <w:tab w:val="right" w:pos="9360"/>
      </w:tabs>
    </w:pPr>
  </w:style>
  <w:style w:type="character" w:customStyle="1" w:styleId="FooterChar">
    <w:name w:val="Footer Char"/>
    <w:basedOn w:val="DefaultParagraphFont"/>
    <w:link w:val="Footer"/>
    <w:uiPriority w:val="99"/>
    <w:rsid w:val="00D264EF"/>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trentu.ca/administration/pdfs/Accessibility.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Walsh</dc:creator>
  <cp:keywords/>
  <dc:description/>
  <cp:lastModifiedBy>Andrea Walsh</cp:lastModifiedBy>
  <cp:revision>2</cp:revision>
  <dcterms:created xsi:type="dcterms:W3CDTF">2018-11-02T13:39:00Z</dcterms:created>
  <dcterms:modified xsi:type="dcterms:W3CDTF">2018-11-02T13:58:00Z</dcterms:modified>
</cp:coreProperties>
</file>