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1B0C" w14:textId="77777777" w:rsidR="001613DB" w:rsidRDefault="001613DB" w:rsidP="001613DB">
      <w:pPr>
        <w:tabs>
          <w:tab w:val="left" w:pos="1560"/>
          <w:tab w:val="right" w:pos="5760"/>
        </w:tabs>
        <w:rPr>
          <w:rFonts w:ascii="Arial Black" w:eastAsia="Times New Roman" w:hAnsi="Arial Black" w:cstheme="minorHAnsi"/>
          <w:b/>
          <w:sz w:val="26"/>
          <w:szCs w:val="26"/>
          <w:lang w:val="en-US"/>
        </w:rPr>
      </w:pPr>
      <w:r w:rsidRPr="002E7C1E">
        <w:rPr>
          <w:rFonts w:cs="Arial"/>
          <w:b/>
          <w:noProof/>
          <w:lang w:val="en-US"/>
        </w:rPr>
        <w:drawing>
          <wp:inline distT="0" distB="0" distL="0" distR="0" wp14:anchorId="4FF0EDE3" wp14:editId="68E3010B">
            <wp:extent cx="2099144" cy="699715"/>
            <wp:effectExtent l="0" t="0" r="0" b="5715"/>
            <wp:docPr id="1" name="Picture 1" descr="S:\Provost\0 - Forms, Lists, Electronic Signatures, Expenses, Attendance\Logos\TU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06458" cy="702153"/>
                    </a:xfrm>
                    <a:prstGeom prst="rect">
                      <a:avLst/>
                    </a:prstGeom>
                    <a:noFill/>
                    <a:ln>
                      <a:noFill/>
                    </a:ln>
                  </pic:spPr>
                </pic:pic>
              </a:graphicData>
            </a:graphic>
          </wp:inline>
        </w:drawing>
      </w:r>
    </w:p>
    <w:p w14:paraId="518DF559" w14:textId="77777777" w:rsidR="001613DB" w:rsidRDefault="001613DB" w:rsidP="001613DB">
      <w:pPr>
        <w:tabs>
          <w:tab w:val="left" w:pos="1560"/>
          <w:tab w:val="right" w:pos="5760"/>
        </w:tabs>
        <w:rPr>
          <w:rFonts w:ascii="Arial Black" w:eastAsia="Times New Roman" w:hAnsi="Arial Black" w:cstheme="minorHAnsi"/>
          <w:b/>
          <w:sz w:val="26"/>
          <w:szCs w:val="26"/>
          <w:lang w:val="en-US"/>
        </w:rPr>
      </w:pPr>
    </w:p>
    <w:p w14:paraId="5A497A98" w14:textId="77777777" w:rsidR="001613DB" w:rsidRPr="005B6579" w:rsidRDefault="001613DB" w:rsidP="001613DB">
      <w:pPr>
        <w:tabs>
          <w:tab w:val="left" w:pos="1560"/>
          <w:tab w:val="right" w:pos="5760"/>
        </w:tabs>
        <w:rPr>
          <w:rFonts w:ascii="Arial Black" w:eastAsia="Times New Roman" w:hAnsi="Arial Black" w:cstheme="minorHAnsi"/>
          <w:sz w:val="26"/>
          <w:szCs w:val="26"/>
          <w:lang w:val="en-US"/>
        </w:rPr>
      </w:pPr>
      <w:r>
        <w:rPr>
          <w:rFonts w:ascii="Arial Black" w:eastAsia="Times New Roman" w:hAnsi="Arial Black" w:cstheme="minorHAnsi"/>
          <w:b/>
          <w:sz w:val="26"/>
          <w:szCs w:val="26"/>
          <w:lang w:val="en-US"/>
        </w:rPr>
        <w:t>IMPLEMENTATION</w:t>
      </w:r>
      <w:r w:rsidRPr="005B6579">
        <w:rPr>
          <w:rFonts w:ascii="Arial Black" w:eastAsia="Times New Roman" w:hAnsi="Arial Black" w:cstheme="minorHAnsi"/>
          <w:b/>
          <w:sz w:val="26"/>
          <w:szCs w:val="26"/>
          <w:lang w:val="en-US"/>
        </w:rPr>
        <w:t xml:space="preserve"> REPORT</w:t>
      </w:r>
      <w:r w:rsidRPr="005B6579">
        <w:rPr>
          <w:rFonts w:ascii="Arial Black" w:eastAsia="Times New Roman" w:hAnsi="Arial Black" w:cstheme="minorHAnsi"/>
          <w:sz w:val="26"/>
          <w:szCs w:val="26"/>
          <w:lang w:val="en-US"/>
        </w:rPr>
        <w:t xml:space="preserve"> – CYCLICAL PROGRAM REVIEW</w:t>
      </w:r>
    </w:p>
    <w:p w14:paraId="0B8F0528" w14:textId="77777777" w:rsidR="008C77B4" w:rsidRPr="00B71EE8" w:rsidRDefault="008C77B4" w:rsidP="008C77B4">
      <w:pPr>
        <w:widowControl w:val="0"/>
        <w:rPr>
          <w:rFonts w:eastAsia="Times New Roman" w:cstheme="minorHAnsi"/>
          <w:b/>
          <w:sz w:val="12"/>
          <w:szCs w:val="24"/>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600"/>
        <w:gridCol w:w="7110"/>
      </w:tblGrid>
      <w:tr w:rsidR="008C77B4" w:rsidRPr="008C77B4" w14:paraId="74AB2B99" w14:textId="77777777" w:rsidTr="008C77B4">
        <w:trPr>
          <w:trHeight w:val="549"/>
        </w:trPr>
        <w:tc>
          <w:tcPr>
            <w:tcW w:w="3600" w:type="dxa"/>
            <w:shd w:val="clear" w:color="auto" w:fill="BFBFBF" w:themeFill="background1" w:themeFillShade="BF"/>
            <w:vAlign w:val="center"/>
          </w:tcPr>
          <w:p w14:paraId="08C5802A" w14:textId="77777777" w:rsidR="008C77B4" w:rsidRPr="008C77B4" w:rsidRDefault="008C77B4" w:rsidP="00B20EFC">
            <w:pPr>
              <w:widowControl w:val="0"/>
              <w:tabs>
                <w:tab w:val="left" w:pos="3969"/>
              </w:tabs>
              <w:rPr>
                <w:rFonts w:ascii="Calibri" w:eastAsia="Times New Roman" w:hAnsi="Calibri" w:cs="Calibri"/>
                <w:bCs/>
                <w:sz w:val="24"/>
                <w:szCs w:val="24"/>
              </w:rPr>
            </w:pPr>
            <w:r w:rsidRPr="008C77B4">
              <w:rPr>
                <w:rFonts w:ascii="Calibri" w:eastAsia="Times New Roman" w:hAnsi="Calibri" w:cs="Calibri"/>
                <w:bCs/>
                <w:sz w:val="24"/>
                <w:szCs w:val="24"/>
              </w:rPr>
              <w:t>Degree Programs Being Reviewed</w:t>
            </w:r>
          </w:p>
        </w:tc>
        <w:tc>
          <w:tcPr>
            <w:tcW w:w="7110" w:type="dxa"/>
            <w:vAlign w:val="center"/>
          </w:tcPr>
          <w:p w14:paraId="1BD27A51" w14:textId="77777777" w:rsidR="008C77B4" w:rsidRPr="008C77B4" w:rsidRDefault="008C77B4" w:rsidP="00B20EFC">
            <w:pPr>
              <w:widowControl w:val="0"/>
              <w:autoSpaceDE w:val="0"/>
              <w:autoSpaceDN w:val="0"/>
              <w:adjustRightInd w:val="0"/>
              <w:rPr>
                <w:rFonts w:ascii="Calibri" w:eastAsia="Times New Roman" w:hAnsi="Calibri" w:cs="Calibri"/>
                <w:bCs/>
                <w:sz w:val="24"/>
                <w:szCs w:val="24"/>
              </w:rPr>
            </w:pPr>
            <w:r w:rsidRPr="008C77B4">
              <w:rPr>
                <w:rFonts w:ascii="Calibri" w:hAnsi="Calibri" w:cs="Calibri"/>
                <w:bCs/>
                <w:sz w:val="24"/>
                <w:szCs w:val="24"/>
              </w:rPr>
              <w:t>MA Sustainability Studies</w:t>
            </w:r>
          </w:p>
        </w:tc>
      </w:tr>
      <w:tr w:rsidR="008C77B4" w:rsidRPr="008C77B4" w14:paraId="4CC4A666" w14:textId="77777777" w:rsidTr="008C77B4">
        <w:trPr>
          <w:trHeight w:val="440"/>
        </w:trPr>
        <w:tc>
          <w:tcPr>
            <w:tcW w:w="3600" w:type="dxa"/>
            <w:shd w:val="clear" w:color="auto" w:fill="BFBFBF" w:themeFill="background1" w:themeFillShade="BF"/>
            <w:vAlign w:val="center"/>
          </w:tcPr>
          <w:p w14:paraId="4CBB36BB" w14:textId="77777777" w:rsidR="008C77B4" w:rsidRPr="008C77B4" w:rsidRDefault="008C77B4" w:rsidP="00B20EFC">
            <w:pPr>
              <w:widowControl w:val="0"/>
              <w:tabs>
                <w:tab w:val="left" w:pos="3969"/>
              </w:tabs>
              <w:rPr>
                <w:rFonts w:ascii="Calibri" w:eastAsia="Times New Roman" w:hAnsi="Calibri" w:cs="Calibri"/>
                <w:bCs/>
                <w:sz w:val="24"/>
                <w:szCs w:val="24"/>
              </w:rPr>
            </w:pPr>
            <w:r w:rsidRPr="008C77B4">
              <w:rPr>
                <w:rFonts w:ascii="Calibri" w:eastAsia="Times New Roman" w:hAnsi="Calibri" w:cs="Calibri"/>
                <w:bCs/>
                <w:sz w:val="24"/>
                <w:szCs w:val="24"/>
              </w:rPr>
              <w:t>Year of Review</w:t>
            </w:r>
          </w:p>
        </w:tc>
        <w:tc>
          <w:tcPr>
            <w:tcW w:w="7110" w:type="dxa"/>
            <w:vAlign w:val="center"/>
          </w:tcPr>
          <w:p w14:paraId="452F906E" w14:textId="77777777" w:rsidR="008C77B4" w:rsidRPr="008C77B4" w:rsidRDefault="008C77B4" w:rsidP="00B20EFC">
            <w:pPr>
              <w:widowControl w:val="0"/>
              <w:tabs>
                <w:tab w:val="left" w:pos="3969"/>
              </w:tabs>
              <w:rPr>
                <w:rFonts w:ascii="Calibri" w:eastAsia="Times New Roman" w:hAnsi="Calibri" w:cs="Calibri"/>
                <w:bCs/>
                <w:sz w:val="24"/>
                <w:szCs w:val="24"/>
              </w:rPr>
            </w:pPr>
            <w:r w:rsidRPr="008C77B4">
              <w:rPr>
                <w:rFonts w:ascii="Calibri" w:eastAsia="Times New Roman" w:hAnsi="Calibri" w:cs="Calibri"/>
                <w:bCs/>
                <w:sz w:val="24"/>
                <w:szCs w:val="24"/>
              </w:rPr>
              <w:t>2023-2024</w:t>
            </w:r>
          </w:p>
        </w:tc>
      </w:tr>
      <w:tr w:rsidR="008C77B4" w:rsidRPr="008C77B4" w14:paraId="55E6223A" w14:textId="77777777" w:rsidTr="008C77B4">
        <w:trPr>
          <w:trHeight w:val="512"/>
        </w:trPr>
        <w:tc>
          <w:tcPr>
            <w:tcW w:w="3600" w:type="dxa"/>
            <w:shd w:val="clear" w:color="auto" w:fill="BFBFBF" w:themeFill="background1" w:themeFillShade="BF"/>
            <w:vAlign w:val="center"/>
          </w:tcPr>
          <w:p w14:paraId="2F307A1C" w14:textId="77777777" w:rsidR="008C77B4" w:rsidRPr="008C77B4" w:rsidRDefault="008C77B4" w:rsidP="00B20EFC">
            <w:pPr>
              <w:widowControl w:val="0"/>
              <w:tabs>
                <w:tab w:val="left" w:pos="3969"/>
              </w:tabs>
              <w:rPr>
                <w:rFonts w:ascii="Calibri" w:eastAsia="Times New Roman" w:hAnsi="Calibri" w:cs="Calibri"/>
                <w:bCs/>
                <w:sz w:val="24"/>
                <w:szCs w:val="24"/>
              </w:rPr>
            </w:pPr>
            <w:r w:rsidRPr="008C77B4">
              <w:rPr>
                <w:rFonts w:ascii="Calibri" w:eastAsia="Times New Roman" w:hAnsi="Calibri" w:cs="Calibri"/>
                <w:bCs/>
                <w:sz w:val="24"/>
                <w:szCs w:val="24"/>
              </w:rPr>
              <w:t>Date of Site Visit</w:t>
            </w:r>
          </w:p>
        </w:tc>
        <w:tc>
          <w:tcPr>
            <w:tcW w:w="7110" w:type="dxa"/>
            <w:vAlign w:val="center"/>
          </w:tcPr>
          <w:p w14:paraId="71C962F4" w14:textId="77777777" w:rsidR="008C77B4" w:rsidRPr="008C77B4" w:rsidRDefault="008C77B4" w:rsidP="00B20EFC">
            <w:pPr>
              <w:widowControl w:val="0"/>
              <w:tabs>
                <w:tab w:val="left" w:pos="3969"/>
              </w:tabs>
              <w:rPr>
                <w:rFonts w:ascii="Calibri" w:eastAsia="Times New Roman" w:hAnsi="Calibri" w:cs="Calibri"/>
                <w:bCs/>
                <w:sz w:val="24"/>
                <w:szCs w:val="24"/>
              </w:rPr>
            </w:pPr>
            <w:r w:rsidRPr="008C77B4">
              <w:rPr>
                <w:rFonts w:ascii="Calibri" w:eastAsia="Times New Roman" w:hAnsi="Calibri" w:cs="Calibri"/>
                <w:bCs/>
                <w:sz w:val="24"/>
                <w:szCs w:val="24"/>
              </w:rPr>
              <w:t>November 16 – 17, 2023</w:t>
            </w:r>
          </w:p>
        </w:tc>
      </w:tr>
      <w:tr w:rsidR="008C77B4" w:rsidRPr="008C77B4" w14:paraId="49E4CAA6" w14:textId="77777777" w:rsidTr="008C77B4">
        <w:tc>
          <w:tcPr>
            <w:tcW w:w="3600" w:type="dxa"/>
            <w:shd w:val="clear" w:color="auto" w:fill="BFBFBF" w:themeFill="background1" w:themeFillShade="BF"/>
            <w:vAlign w:val="center"/>
          </w:tcPr>
          <w:p w14:paraId="13E0CEAD" w14:textId="77777777" w:rsidR="008C77B4" w:rsidRPr="008C77B4" w:rsidRDefault="008C77B4" w:rsidP="00B20EFC">
            <w:pPr>
              <w:widowControl w:val="0"/>
              <w:tabs>
                <w:tab w:val="left" w:pos="3969"/>
              </w:tabs>
              <w:rPr>
                <w:rFonts w:ascii="Calibri" w:eastAsia="Times New Roman" w:hAnsi="Calibri" w:cs="Calibri"/>
                <w:bCs/>
                <w:sz w:val="24"/>
                <w:szCs w:val="24"/>
              </w:rPr>
            </w:pPr>
          </w:p>
          <w:p w14:paraId="450E94AB" w14:textId="5B6A30D9" w:rsidR="008C77B4" w:rsidRPr="008C77B4" w:rsidRDefault="008C77B4" w:rsidP="00B20EFC">
            <w:pPr>
              <w:widowControl w:val="0"/>
              <w:tabs>
                <w:tab w:val="left" w:pos="3969"/>
              </w:tabs>
              <w:rPr>
                <w:rFonts w:ascii="Calibri" w:eastAsia="Times New Roman" w:hAnsi="Calibri" w:cs="Calibri"/>
                <w:bCs/>
                <w:sz w:val="24"/>
                <w:szCs w:val="24"/>
              </w:rPr>
            </w:pPr>
            <w:r w:rsidRPr="008C77B4">
              <w:rPr>
                <w:rFonts w:ascii="Calibri" w:eastAsia="Times New Roman" w:hAnsi="Calibri" w:cs="Calibri"/>
                <w:bCs/>
                <w:sz w:val="24"/>
                <w:szCs w:val="24"/>
              </w:rPr>
              <w:t>Signature of Director</w:t>
            </w:r>
          </w:p>
          <w:p w14:paraId="78BBE103" w14:textId="021120ED" w:rsidR="008C77B4" w:rsidRPr="008C77B4" w:rsidRDefault="008C77B4" w:rsidP="00B20EFC">
            <w:pPr>
              <w:widowControl w:val="0"/>
              <w:tabs>
                <w:tab w:val="left" w:pos="3969"/>
              </w:tabs>
              <w:rPr>
                <w:rFonts w:ascii="Calibri" w:eastAsia="Times New Roman" w:hAnsi="Calibri" w:cs="Calibri"/>
                <w:bCs/>
                <w:sz w:val="24"/>
                <w:szCs w:val="24"/>
              </w:rPr>
            </w:pPr>
          </w:p>
        </w:tc>
        <w:tc>
          <w:tcPr>
            <w:tcW w:w="7110" w:type="dxa"/>
            <w:shd w:val="clear" w:color="auto" w:fill="FFFFFF" w:themeFill="background1"/>
            <w:vAlign w:val="center"/>
          </w:tcPr>
          <w:p w14:paraId="5AB4170A" w14:textId="50EE1337" w:rsidR="008C77B4" w:rsidRPr="008C77B4" w:rsidRDefault="00BD5285" w:rsidP="00B20EFC">
            <w:pPr>
              <w:widowControl w:val="0"/>
              <w:tabs>
                <w:tab w:val="left" w:pos="3969"/>
              </w:tabs>
              <w:rPr>
                <w:rFonts w:ascii="Calibri" w:eastAsia="Times New Roman" w:hAnsi="Calibri" w:cs="Calibri"/>
                <w:bCs/>
                <w:sz w:val="24"/>
                <w:szCs w:val="24"/>
              </w:rPr>
            </w:pPr>
            <w:r>
              <w:rPr>
                <w:rFonts w:ascii="Calibri" w:eastAsia="Times New Roman" w:hAnsi="Calibri" w:cs="Calibri"/>
                <w:bCs/>
                <w:noProof/>
                <w:sz w:val="24"/>
                <w:szCs w:val="24"/>
                <w14:ligatures w14:val="standardContextual"/>
              </w:rPr>
              <w:drawing>
                <wp:inline distT="0" distB="0" distL="0" distR="0" wp14:anchorId="586411B3" wp14:editId="37A31F5A">
                  <wp:extent cx="1388866" cy="422031"/>
                  <wp:effectExtent l="0" t="0" r="0" b="0"/>
                  <wp:docPr id="699637561" name="Picture 1" descr="A black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637561" name="Picture 1" descr="A black line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8117" cy="433958"/>
                          </a:xfrm>
                          <a:prstGeom prst="rect">
                            <a:avLst/>
                          </a:prstGeom>
                        </pic:spPr>
                      </pic:pic>
                    </a:graphicData>
                  </a:graphic>
                </wp:inline>
              </w:drawing>
            </w:r>
          </w:p>
        </w:tc>
      </w:tr>
      <w:tr w:rsidR="008C77B4" w:rsidRPr="008C77B4" w14:paraId="309B05FC" w14:textId="77777777" w:rsidTr="008C77B4">
        <w:trPr>
          <w:trHeight w:val="519"/>
        </w:trPr>
        <w:tc>
          <w:tcPr>
            <w:tcW w:w="3600" w:type="dxa"/>
            <w:shd w:val="clear" w:color="auto" w:fill="BFBFBF" w:themeFill="background1" w:themeFillShade="BF"/>
            <w:vAlign w:val="center"/>
          </w:tcPr>
          <w:p w14:paraId="19843D1F" w14:textId="77777777" w:rsidR="008C77B4" w:rsidRPr="008C77B4" w:rsidRDefault="008C77B4" w:rsidP="00B20EFC">
            <w:pPr>
              <w:widowControl w:val="0"/>
              <w:tabs>
                <w:tab w:val="left" w:pos="3969"/>
              </w:tabs>
              <w:rPr>
                <w:rFonts w:ascii="Calibri" w:eastAsia="Times New Roman" w:hAnsi="Calibri" w:cs="Calibri"/>
                <w:bCs/>
                <w:sz w:val="24"/>
                <w:szCs w:val="24"/>
              </w:rPr>
            </w:pPr>
          </w:p>
          <w:p w14:paraId="783FCDEB" w14:textId="42CBA4F6" w:rsidR="008C77B4" w:rsidRPr="008C77B4" w:rsidRDefault="008C77B4" w:rsidP="00B20EFC">
            <w:pPr>
              <w:widowControl w:val="0"/>
              <w:tabs>
                <w:tab w:val="left" w:pos="3969"/>
              </w:tabs>
              <w:rPr>
                <w:rFonts w:ascii="Calibri" w:eastAsia="Times New Roman" w:hAnsi="Calibri" w:cs="Calibri"/>
                <w:bCs/>
                <w:sz w:val="24"/>
                <w:szCs w:val="24"/>
              </w:rPr>
            </w:pPr>
            <w:r w:rsidRPr="008C77B4">
              <w:rPr>
                <w:rFonts w:ascii="Calibri" w:eastAsia="Times New Roman" w:hAnsi="Calibri" w:cs="Calibri"/>
                <w:bCs/>
                <w:sz w:val="24"/>
                <w:szCs w:val="24"/>
              </w:rPr>
              <w:t>Signature of Dean</w:t>
            </w:r>
          </w:p>
          <w:p w14:paraId="693F3159" w14:textId="07735EA4" w:rsidR="008C77B4" w:rsidRPr="008C77B4" w:rsidRDefault="008C77B4" w:rsidP="00B20EFC">
            <w:pPr>
              <w:widowControl w:val="0"/>
              <w:tabs>
                <w:tab w:val="left" w:pos="3969"/>
              </w:tabs>
              <w:rPr>
                <w:rFonts w:ascii="Calibri" w:eastAsia="Times New Roman" w:hAnsi="Calibri" w:cs="Calibri"/>
                <w:bCs/>
                <w:sz w:val="24"/>
                <w:szCs w:val="24"/>
              </w:rPr>
            </w:pPr>
          </w:p>
        </w:tc>
        <w:tc>
          <w:tcPr>
            <w:tcW w:w="7110" w:type="dxa"/>
            <w:vAlign w:val="center"/>
          </w:tcPr>
          <w:p w14:paraId="38550484" w14:textId="716F2E57" w:rsidR="008C77B4" w:rsidRPr="008C77B4" w:rsidRDefault="00CC0374" w:rsidP="00B20EFC">
            <w:pPr>
              <w:widowControl w:val="0"/>
              <w:tabs>
                <w:tab w:val="left" w:pos="3969"/>
              </w:tabs>
              <w:rPr>
                <w:rFonts w:ascii="Calibri" w:eastAsia="Times New Roman" w:hAnsi="Calibri" w:cs="Calibri"/>
                <w:bCs/>
                <w:sz w:val="24"/>
                <w:szCs w:val="24"/>
              </w:rPr>
            </w:pPr>
            <w:r>
              <w:rPr>
                <w:rFonts w:ascii="Calibri" w:eastAsia="Times New Roman" w:hAnsi="Calibri" w:cs="Calibri"/>
                <w:bCs/>
                <w:noProof/>
                <w:sz w:val="24"/>
                <w:szCs w:val="24"/>
                <w14:ligatures w14:val="standardContextual"/>
              </w:rPr>
              <w:drawing>
                <wp:inline distT="0" distB="0" distL="0" distR="0" wp14:anchorId="10255D7C" wp14:editId="700900DD">
                  <wp:extent cx="1030441" cy="323084"/>
                  <wp:effectExtent l="0" t="0" r="0" b="1270"/>
                  <wp:docPr id="572249720"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49720" name="Picture 1" descr="A close-up of a signatu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4720" cy="327561"/>
                          </a:xfrm>
                          <a:prstGeom prst="rect">
                            <a:avLst/>
                          </a:prstGeom>
                        </pic:spPr>
                      </pic:pic>
                    </a:graphicData>
                  </a:graphic>
                </wp:inline>
              </w:drawing>
            </w:r>
          </w:p>
        </w:tc>
      </w:tr>
      <w:tr w:rsidR="008C77B4" w:rsidRPr="008C77B4" w14:paraId="34A625C8" w14:textId="77777777" w:rsidTr="008C77B4">
        <w:tc>
          <w:tcPr>
            <w:tcW w:w="3600" w:type="dxa"/>
            <w:shd w:val="clear" w:color="auto" w:fill="BFBFBF" w:themeFill="background1" w:themeFillShade="BF"/>
            <w:vAlign w:val="center"/>
          </w:tcPr>
          <w:p w14:paraId="4A99EA19" w14:textId="77777777" w:rsidR="008C77B4" w:rsidRPr="008C77B4" w:rsidRDefault="008C77B4" w:rsidP="00B20EFC">
            <w:pPr>
              <w:widowControl w:val="0"/>
              <w:tabs>
                <w:tab w:val="left" w:pos="3969"/>
              </w:tabs>
              <w:rPr>
                <w:rFonts w:ascii="Calibri" w:eastAsia="Times New Roman" w:hAnsi="Calibri" w:cs="Calibri"/>
                <w:bCs/>
                <w:sz w:val="24"/>
                <w:szCs w:val="24"/>
              </w:rPr>
            </w:pPr>
          </w:p>
          <w:p w14:paraId="340EF70B" w14:textId="3D283584" w:rsidR="008C77B4" w:rsidRPr="008C77B4" w:rsidRDefault="008C77B4" w:rsidP="00B20EFC">
            <w:pPr>
              <w:widowControl w:val="0"/>
              <w:tabs>
                <w:tab w:val="left" w:pos="3969"/>
              </w:tabs>
              <w:rPr>
                <w:rFonts w:ascii="Calibri" w:eastAsia="Times New Roman" w:hAnsi="Calibri" w:cs="Calibri"/>
                <w:bCs/>
                <w:sz w:val="24"/>
                <w:szCs w:val="24"/>
              </w:rPr>
            </w:pPr>
            <w:r w:rsidRPr="008C77B4">
              <w:rPr>
                <w:rFonts w:ascii="Calibri" w:eastAsia="Times New Roman" w:hAnsi="Calibri" w:cs="Calibri"/>
                <w:bCs/>
                <w:sz w:val="24"/>
                <w:szCs w:val="24"/>
              </w:rPr>
              <w:t>Date</w:t>
            </w:r>
          </w:p>
          <w:p w14:paraId="464159B5" w14:textId="575B3210" w:rsidR="008C77B4" w:rsidRPr="008C77B4" w:rsidRDefault="008C77B4" w:rsidP="00B20EFC">
            <w:pPr>
              <w:widowControl w:val="0"/>
              <w:tabs>
                <w:tab w:val="left" w:pos="3969"/>
              </w:tabs>
              <w:rPr>
                <w:rFonts w:ascii="Calibri" w:eastAsia="Times New Roman" w:hAnsi="Calibri" w:cs="Calibri"/>
                <w:bCs/>
                <w:sz w:val="24"/>
                <w:szCs w:val="24"/>
              </w:rPr>
            </w:pPr>
          </w:p>
        </w:tc>
        <w:tc>
          <w:tcPr>
            <w:tcW w:w="7110" w:type="dxa"/>
            <w:vAlign w:val="center"/>
          </w:tcPr>
          <w:p w14:paraId="541B4154" w14:textId="398B3308" w:rsidR="008C77B4" w:rsidRPr="008C77B4" w:rsidRDefault="00C51763" w:rsidP="00B20EFC">
            <w:pPr>
              <w:widowControl w:val="0"/>
              <w:tabs>
                <w:tab w:val="left" w:pos="3969"/>
              </w:tabs>
              <w:rPr>
                <w:rFonts w:ascii="Calibri" w:eastAsia="Times New Roman" w:hAnsi="Calibri" w:cs="Calibri"/>
                <w:bCs/>
                <w:sz w:val="24"/>
                <w:szCs w:val="24"/>
              </w:rPr>
            </w:pPr>
            <w:r>
              <w:rPr>
                <w:rFonts w:ascii="Calibri" w:eastAsia="Times New Roman" w:hAnsi="Calibri" w:cs="Calibri"/>
                <w:bCs/>
                <w:sz w:val="24"/>
                <w:szCs w:val="24"/>
              </w:rPr>
              <w:t>May 5, 2025</w:t>
            </w:r>
          </w:p>
        </w:tc>
      </w:tr>
    </w:tbl>
    <w:p w14:paraId="19306E96" w14:textId="77777777" w:rsidR="008C77B4" w:rsidRDefault="008C77B4" w:rsidP="008C77B4">
      <w:pPr>
        <w:tabs>
          <w:tab w:val="left" w:pos="567"/>
        </w:tabs>
        <w:rPr>
          <w:rFonts w:eastAsia="Times New Roman" w:cstheme="minorHAnsi"/>
          <w:b/>
          <w:color w:val="0070C0"/>
          <w:sz w:val="28"/>
          <w:szCs w:val="28"/>
          <w:lang w:val="en-US"/>
        </w:rPr>
      </w:pPr>
    </w:p>
    <w:p w14:paraId="26CCFBCB" w14:textId="24B05D30" w:rsidR="008C77B4" w:rsidRPr="00552C70" w:rsidRDefault="008C77B4" w:rsidP="008C77B4">
      <w:pPr>
        <w:tabs>
          <w:tab w:val="left" w:pos="567"/>
        </w:tabs>
        <w:rPr>
          <w:rFonts w:ascii="Calibri" w:eastAsia="Times New Roman" w:hAnsi="Calibri" w:cs="Calibri"/>
          <w:b/>
          <w:color w:val="3A7C22" w:themeColor="accent6" w:themeShade="BF"/>
          <w:sz w:val="28"/>
          <w:szCs w:val="28"/>
          <w:lang w:val="en-US"/>
        </w:rPr>
      </w:pPr>
      <w:r w:rsidRPr="00552C70">
        <w:rPr>
          <w:rFonts w:ascii="Calibri" w:eastAsia="Times New Roman" w:hAnsi="Calibri" w:cs="Calibri"/>
          <w:b/>
          <w:color w:val="3A7C22" w:themeColor="accent6" w:themeShade="BF"/>
          <w:sz w:val="28"/>
          <w:szCs w:val="28"/>
          <w:lang w:val="en-US"/>
        </w:rPr>
        <w:t>Recommendations to be Addressed</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3420"/>
        <w:gridCol w:w="1890"/>
        <w:gridCol w:w="2880"/>
      </w:tblGrid>
      <w:tr w:rsidR="008C77B4" w:rsidRPr="008C77B4" w14:paraId="3A63B05C" w14:textId="77777777" w:rsidTr="00470E47">
        <w:tc>
          <w:tcPr>
            <w:tcW w:w="2515" w:type="dxa"/>
            <w:shd w:val="clear" w:color="auto" w:fill="BFBFBF" w:themeFill="background1" w:themeFillShade="BF"/>
            <w:vAlign w:val="center"/>
          </w:tcPr>
          <w:p w14:paraId="20E468E6" w14:textId="77777777" w:rsidR="008C77B4" w:rsidRPr="008C77B4" w:rsidRDefault="008C77B4" w:rsidP="00B20EFC">
            <w:pPr>
              <w:widowControl w:val="0"/>
              <w:jc w:val="center"/>
              <w:rPr>
                <w:rFonts w:ascii="Calibri" w:eastAsia="Times New Roman" w:hAnsi="Calibri" w:cs="Calibri"/>
                <w:b/>
                <w:sz w:val="20"/>
                <w:szCs w:val="20"/>
                <w:lang w:val="en-US"/>
              </w:rPr>
            </w:pPr>
            <w:r w:rsidRPr="008C77B4">
              <w:rPr>
                <w:rFonts w:ascii="Calibri" w:eastAsia="Times New Roman" w:hAnsi="Calibri" w:cs="Calibri"/>
                <w:b/>
                <w:sz w:val="20"/>
                <w:szCs w:val="20"/>
                <w:lang w:val="en-US"/>
              </w:rPr>
              <w:t>Recommendation</w:t>
            </w:r>
          </w:p>
        </w:tc>
        <w:tc>
          <w:tcPr>
            <w:tcW w:w="3420" w:type="dxa"/>
            <w:shd w:val="clear" w:color="auto" w:fill="BFBFBF" w:themeFill="background1" w:themeFillShade="BF"/>
            <w:vAlign w:val="center"/>
          </w:tcPr>
          <w:p w14:paraId="7D2E68D7" w14:textId="77777777" w:rsidR="00470E47" w:rsidRDefault="00470E47" w:rsidP="00B20EFC">
            <w:pPr>
              <w:widowControl w:val="0"/>
              <w:jc w:val="center"/>
              <w:rPr>
                <w:rFonts w:ascii="Calibri" w:eastAsia="Times New Roman" w:hAnsi="Calibri" w:cs="Calibri"/>
                <w:b/>
                <w:sz w:val="20"/>
                <w:szCs w:val="20"/>
                <w:lang w:val="en-US"/>
              </w:rPr>
            </w:pPr>
          </w:p>
          <w:p w14:paraId="75990456" w14:textId="62D414CA" w:rsidR="008C77B4" w:rsidRPr="008C77B4" w:rsidRDefault="008C77B4" w:rsidP="00B20EFC">
            <w:pPr>
              <w:widowControl w:val="0"/>
              <w:jc w:val="center"/>
              <w:rPr>
                <w:rFonts w:ascii="Calibri" w:eastAsia="Times New Roman" w:hAnsi="Calibri" w:cs="Calibri"/>
                <w:b/>
                <w:sz w:val="20"/>
                <w:szCs w:val="20"/>
                <w:lang w:val="en-US"/>
              </w:rPr>
            </w:pPr>
            <w:r w:rsidRPr="008C77B4">
              <w:rPr>
                <w:rFonts w:ascii="Calibri" w:eastAsia="Times New Roman" w:hAnsi="Calibri" w:cs="Calibri"/>
                <w:b/>
                <w:sz w:val="20"/>
                <w:szCs w:val="20"/>
                <w:lang w:val="en-US"/>
              </w:rPr>
              <w:t>Proposed Follow-Up</w:t>
            </w:r>
          </w:p>
          <w:p w14:paraId="0A484DB5" w14:textId="77777777" w:rsidR="008C77B4" w:rsidRPr="008C77B4" w:rsidRDefault="008C77B4" w:rsidP="00B20EFC">
            <w:pPr>
              <w:widowControl w:val="0"/>
              <w:jc w:val="center"/>
              <w:rPr>
                <w:rFonts w:ascii="Calibri" w:eastAsia="Times New Roman" w:hAnsi="Calibri" w:cs="Calibri"/>
                <w:bCs/>
                <w:iCs/>
                <w:sz w:val="20"/>
                <w:szCs w:val="20"/>
                <w:lang w:val="en-US"/>
              </w:rPr>
            </w:pPr>
          </w:p>
        </w:tc>
        <w:tc>
          <w:tcPr>
            <w:tcW w:w="1890" w:type="dxa"/>
            <w:shd w:val="clear" w:color="auto" w:fill="BFBFBF" w:themeFill="background1" w:themeFillShade="BF"/>
            <w:vAlign w:val="center"/>
          </w:tcPr>
          <w:p w14:paraId="12D9D2FA" w14:textId="77777777" w:rsidR="008C77B4" w:rsidRPr="008C77B4" w:rsidRDefault="008C77B4" w:rsidP="00B20EFC">
            <w:pPr>
              <w:widowControl w:val="0"/>
              <w:jc w:val="center"/>
              <w:rPr>
                <w:rFonts w:ascii="Calibri" w:eastAsia="Times New Roman" w:hAnsi="Calibri" w:cs="Calibri"/>
                <w:b/>
                <w:iCs/>
                <w:sz w:val="20"/>
                <w:szCs w:val="20"/>
                <w:lang w:val="en-US"/>
              </w:rPr>
            </w:pPr>
            <w:r w:rsidRPr="008C77B4">
              <w:rPr>
                <w:rFonts w:ascii="Calibri" w:eastAsia="Times New Roman" w:hAnsi="Calibri" w:cs="Calibri"/>
                <w:b/>
                <w:iCs/>
                <w:sz w:val="20"/>
                <w:szCs w:val="20"/>
                <w:lang w:val="en-US"/>
              </w:rPr>
              <w:t>Specific Timeline</w:t>
            </w:r>
          </w:p>
        </w:tc>
        <w:tc>
          <w:tcPr>
            <w:tcW w:w="2880" w:type="dxa"/>
            <w:shd w:val="clear" w:color="auto" w:fill="BFBFBF" w:themeFill="background1" w:themeFillShade="BF"/>
            <w:vAlign w:val="center"/>
          </w:tcPr>
          <w:p w14:paraId="497F7977" w14:textId="5DBF548F" w:rsidR="008C77B4" w:rsidRPr="008C77B4" w:rsidRDefault="008C77B4" w:rsidP="00B20EFC">
            <w:pPr>
              <w:widowControl w:val="0"/>
              <w:jc w:val="center"/>
              <w:rPr>
                <w:rFonts w:ascii="Calibri" w:eastAsia="Times New Roman" w:hAnsi="Calibri" w:cs="Calibri"/>
                <w:b/>
                <w:sz w:val="20"/>
                <w:szCs w:val="20"/>
                <w:lang w:val="en-US"/>
              </w:rPr>
            </w:pPr>
            <w:r>
              <w:rPr>
                <w:rFonts w:ascii="Calibri" w:eastAsia="Times New Roman" w:hAnsi="Calibri" w:cs="Calibri"/>
                <w:b/>
                <w:sz w:val="20"/>
                <w:szCs w:val="20"/>
                <w:lang w:val="en-US"/>
              </w:rPr>
              <w:t>Follow-Up Taken</w:t>
            </w:r>
          </w:p>
        </w:tc>
      </w:tr>
      <w:tr w:rsidR="008C77B4" w:rsidRPr="008C77B4" w14:paraId="3CB5F782" w14:textId="77777777" w:rsidTr="00D16C4D">
        <w:tc>
          <w:tcPr>
            <w:tcW w:w="2515" w:type="dxa"/>
            <w:shd w:val="clear" w:color="auto" w:fill="FFFFFF" w:themeFill="background1"/>
          </w:tcPr>
          <w:p w14:paraId="1D718301" w14:textId="77777777" w:rsidR="008C77B4" w:rsidRPr="008C77B4" w:rsidRDefault="008C77B4" w:rsidP="00B20EFC">
            <w:pPr>
              <w:pStyle w:val="Default"/>
              <w:widowControl w:val="0"/>
              <w:rPr>
                <w:rFonts w:eastAsia="Times New Roman"/>
                <w:b/>
                <w:bCs/>
                <w:color w:val="auto"/>
                <w:sz w:val="20"/>
                <w:szCs w:val="20"/>
              </w:rPr>
            </w:pPr>
            <w:r w:rsidRPr="008C77B4">
              <w:rPr>
                <w:rFonts w:eastAsia="Times New Roman"/>
                <w:b/>
                <w:bCs/>
                <w:color w:val="auto"/>
                <w:sz w:val="20"/>
                <w:szCs w:val="20"/>
              </w:rPr>
              <w:t>Recommendation 1</w:t>
            </w:r>
          </w:p>
          <w:p w14:paraId="26BB7F14" w14:textId="758FB51F" w:rsidR="008C77B4" w:rsidRPr="008C77B4" w:rsidRDefault="008C77B4" w:rsidP="00B20EFC">
            <w:pPr>
              <w:pStyle w:val="Default"/>
              <w:widowControl w:val="0"/>
              <w:rPr>
                <w:rFonts w:eastAsia="Times New Roman"/>
                <w:bCs/>
                <w:color w:val="auto"/>
                <w:sz w:val="20"/>
                <w:szCs w:val="20"/>
                <w:lang w:val="en-CA"/>
              </w:rPr>
            </w:pPr>
            <w:r w:rsidRPr="008C77B4">
              <w:rPr>
                <w:rFonts w:eastAsia="Times New Roman"/>
                <w:bCs/>
                <w:color w:val="auto"/>
                <w:sz w:val="20"/>
                <w:szCs w:val="20"/>
                <w:lang w:val="en-CA"/>
              </w:rPr>
              <w:t>That the Program be relocated/homed in the School of the Environment.</w:t>
            </w:r>
          </w:p>
          <w:p w14:paraId="0206E136" w14:textId="77777777" w:rsidR="008C77B4" w:rsidRPr="008C77B4" w:rsidRDefault="008C77B4" w:rsidP="00B20EFC">
            <w:pPr>
              <w:pStyle w:val="Default"/>
              <w:widowControl w:val="0"/>
              <w:rPr>
                <w:rFonts w:eastAsia="Times New Roman"/>
                <w:bCs/>
                <w:color w:val="auto"/>
                <w:sz w:val="20"/>
                <w:szCs w:val="20"/>
                <w:lang w:val="en-CA"/>
              </w:rPr>
            </w:pPr>
          </w:p>
        </w:tc>
        <w:tc>
          <w:tcPr>
            <w:tcW w:w="3420" w:type="dxa"/>
            <w:shd w:val="clear" w:color="auto" w:fill="FFFFFF" w:themeFill="background1"/>
          </w:tcPr>
          <w:p w14:paraId="5CFA77E8"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The Program should explore opportunities to house this program within the School of the Environment; consultation should take place with School of Business.</w:t>
            </w:r>
          </w:p>
          <w:p w14:paraId="0FD6EE55" w14:textId="77777777" w:rsidR="008C77B4" w:rsidRPr="008C77B4" w:rsidRDefault="008C77B4" w:rsidP="00B20EFC">
            <w:pPr>
              <w:widowControl w:val="0"/>
              <w:rPr>
                <w:rFonts w:ascii="Calibri" w:eastAsia="Times New Roman" w:hAnsi="Calibri" w:cs="Calibri"/>
                <w:bCs/>
                <w:sz w:val="20"/>
                <w:szCs w:val="20"/>
                <w:lang w:val="en-US"/>
              </w:rPr>
            </w:pPr>
          </w:p>
          <w:p w14:paraId="4381DE56"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The Implementation Report will provide an update.</w:t>
            </w:r>
          </w:p>
          <w:p w14:paraId="683B7091" w14:textId="77777777" w:rsidR="008C77B4" w:rsidRPr="008C77B4" w:rsidRDefault="008C77B4" w:rsidP="00B20EFC">
            <w:pPr>
              <w:widowControl w:val="0"/>
              <w:rPr>
                <w:rFonts w:ascii="Calibri" w:eastAsia="Times New Roman" w:hAnsi="Calibri" w:cs="Calibri"/>
                <w:bCs/>
                <w:sz w:val="20"/>
                <w:szCs w:val="20"/>
                <w:lang w:val="en-US"/>
              </w:rPr>
            </w:pPr>
          </w:p>
        </w:tc>
        <w:tc>
          <w:tcPr>
            <w:tcW w:w="1890" w:type="dxa"/>
            <w:shd w:val="clear" w:color="auto" w:fill="FFFFFF" w:themeFill="background1"/>
          </w:tcPr>
          <w:p w14:paraId="4B5A5706" w14:textId="77777777" w:rsidR="008C77B4" w:rsidRPr="008C77B4" w:rsidRDefault="008C77B4" w:rsidP="00B20EFC">
            <w:pPr>
              <w:widowControl w:val="0"/>
              <w:rPr>
                <w:rFonts w:ascii="Calibri" w:eastAsia="Times New Roman" w:hAnsi="Calibri" w:cs="Calibri"/>
                <w:bCs/>
                <w:iCs/>
                <w:sz w:val="20"/>
                <w:szCs w:val="20"/>
                <w:lang w:val="en-US"/>
              </w:rPr>
            </w:pPr>
            <w:r w:rsidRPr="008C77B4">
              <w:rPr>
                <w:rFonts w:ascii="Calibri" w:eastAsia="Times New Roman" w:hAnsi="Calibri" w:cs="Calibri"/>
                <w:bCs/>
                <w:iCs/>
                <w:sz w:val="20"/>
                <w:szCs w:val="20"/>
                <w:lang w:val="en-US"/>
              </w:rPr>
              <w:t>To be determined by May 1, 2025.</w:t>
            </w:r>
          </w:p>
        </w:tc>
        <w:tc>
          <w:tcPr>
            <w:tcW w:w="2880" w:type="dxa"/>
            <w:shd w:val="clear" w:color="auto" w:fill="FFFFFF" w:themeFill="background1"/>
          </w:tcPr>
          <w:p w14:paraId="36C8B669" w14:textId="333953B6" w:rsidR="008C77B4" w:rsidRDefault="00C51763" w:rsidP="00B20EFC">
            <w:pPr>
              <w:widowControl w:val="0"/>
              <w:rPr>
                <w:rFonts w:ascii="Calibri" w:eastAsia="Times New Roman" w:hAnsi="Calibri" w:cs="Calibri"/>
                <w:bCs/>
                <w:sz w:val="20"/>
                <w:szCs w:val="20"/>
                <w:lang w:val="en-US"/>
              </w:rPr>
            </w:pPr>
            <w:r>
              <w:rPr>
                <w:rFonts w:ascii="Calibri" w:eastAsia="Times New Roman" w:hAnsi="Calibri" w:cs="Calibri"/>
                <w:bCs/>
                <w:sz w:val="20"/>
                <w:szCs w:val="20"/>
                <w:lang w:val="en-US"/>
              </w:rPr>
              <w:t xml:space="preserve">The Program has initiated the process </w:t>
            </w:r>
            <w:r w:rsidR="00136962">
              <w:rPr>
                <w:rFonts w:ascii="Calibri" w:eastAsia="Times New Roman" w:hAnsi="Calibri" w:cs="Calibri"/>
                <w:bCs/>
                <w:sz w:val="20"/>
                <w:szCs w:val="20"/>
                <w:lang w:val="en-US"/>
              </w:rPr>
              <w:t>through which we will</w:t>
            </w:r>
            <w:r>
              <w:rPr>
                <w:rFonts w:ascii="Calibri" w:eastAsia="Times New Roman" w:hAnsi="Calibri" w:cs="Calibri"/>
                <w:bCs/>
                <w:sz w:val="20"/>
                <w:szCs w:val="20"/>
                <w:lang w:val="en-US"/>
              </w:rPr>
              <w:t xml:space="preserve"> </w:t>
            </w:r>
            <w:r w:rsidR="00BD5285">
              <w:rPr>
                <w:rFonts w:ascii="Calibri" w:eastAsia="Times New Roman" w:hAnsi="Calibri" w:cs="Calibri"/>
                <w:bCs/>
                <w:sz w:val="20"/>
                <w:szCs w:val="20"/>
                <w:lang w:val="en-US"/>
              </w:rPr>
              <w:t xml:space="preserve">be </w:t>
            </w:r>
            <w:r>
              <w:rPr>
                <w:rFonts w:ascii="Calibri" w:eastAsia="Times New Roman" w:hAnsi="Calibri" w:cs="Calibri"/>
                <w:bCs/>
                <w:sz w:val="20"/>
                <w:szCs w:val="20"/>
                <w:lang w:val="en-US"/>
              </w:rPr>
              <w:t xml:space="preserve">housed </w:t>
            </w:r>
            <w:r w:rsidR="00BD5285">
              <w:rPr>
                <w:rFonts w:ascii="Calibri" w:eastAsia="Times New Roman" w:hAnsi="Calibri" w:cs="Calibri"/>
                <w:bCs/>
                <w:sz w:val="20"/>
                <w:szCs w:val="20"/>
                <w:lang w:val="en-US"/>
              </w:rPr>
              <w:t>in</w:t>
            </w:r>
            <w:r>
              <w:rPr>
                <w:rFonts w:ascii="Calibri" w:eastAsia="Times New Roman" w:hAnsi="Calibri" w:cs="Calibri"/>
                <w:bCs/>
                <w:sz w:val="20"/>
                <w:szCs w:val="20"/>
                <w:lang w:val="en-US"/>
              </w:rPr>
              <w:t xml:space="preserve"> the School of the Environment (TSE) with the TSE Director and the Dean of Science. We anticipate </w:t>
            </w:r>
            <w:r w:rsidR="002C018C">
              <w:rPr>
                <w:rFonts w:ascii="Calibri" w:eastAsia="Times New Roman" w:hAnsi="Calibri" w:cs="Calibri"/>
                <w:bCs/>
                <w:sz w:val="20"/>
                <w:szCs w:val="20"/>
                <w:lang w:val="en-US"/>
              </w:rPr>
              <w:t xml:space="preserve">that </w:t>
            </w:r>
            <w:r w:rsidR="00136962">
              <w:rPr>
                <w:rFonts w:ascii="Calibri" w:eastAsia="Times New Roman" w:hAnsi="Calibri" w:cs="Calibri"/>
                <w:bCs/>
                <w:sz w:val="20"/>
                <w:szCs w:val="20"/>
                <w:lang w:val="en-US"/>
              </w:rPr>
              <w:t xml:space="preserve">this process will be </w:t>
            </w:r>
            <w:proofErr w:type="gramStart"/>
            <w:r w:rsidR="00136962">
              <w:rPr>
                <w:rFonts w:ascii="Calibri" w:eastAsia="Times New Roman" w:hAnsi="Calibri" w:cs="Calibri"/>
                <w:bCs/>
                <w:sz w:val="20"/>
                <w:szCs w:val="20"/>
                <w:lang w:val="en-US"/>
              </w:rPr>
              <w:t>complete</w:t>
            </w:r>
            <w:proofErr w:type="gramEnd"/>
            <w:r w:rsidR="00136962">
              <w:rPr>
                <w:rFonts w:ascii="Calibri" w:eastAsia="Times New Roman" w:hAnsi="Calibri" w:cs="Calibri"/>
                <w:bCs/>
                <w:sz w:val="20"/>
                <w:szCs w:val="20"/>
                <w:lang w:val="en-US"/>
              </w:rPr>
              <w:t xml:space="preserve"> </w:t>
            </w:r>
            <w:r w:rsidR="00BD5285">
              <w:rPr>
                <w:rFonts w:ascii="Calibri" w:eastAsia="Times New Roman" w:hAnsi="Calibri" w:cs="Calibri"/>
                <w:bCs/>
                <w:sz w:val="20"/>
                <w:szCs w:val="20"/>
                <w:lang w:val="en-US"/>
              </w:rPr>
              <w:t xml:space="preserve">by </w:t>
            </w:r>
            <w:r>
              <w:rPr>
                <w:rFonts w:ascii="Calibri" w:eastAsia="Times New Roman" w:hAnsi="Calibri" w:cs="Calibri"/>
                <w:bCs/>
                <w:sz w:val="20"/>
                <w:szCs w:val="20"/>
                <w:lang w:val="en-US"/>
              </w:rPr>
              <w:t>July 1, 2025</w:t>
            </w:r>
            <w:r w:rsidR="00136962">
              <w:rPr>
                <w:rFonts w:ascii="Calibri" w:eastAsia="Times New Roman" w:hAnsi="Calibri" w:cs="Calibri"/>
                <w:bCs/>
                <w:sz w:val="20"/>
                <w:szCs w:val="20"/>
                <w:lang w:val="en-US"/>
              </w:rPr>
              <w:t xml:space="preserve">, in line with the implementation of Graduate Studies Review. </w:t>
            </w:r>
          </w:p>
          <w:p w14:paraId="63C94DAE" w14:textId="7C9BB701" w:rsidR="00136962" w:rsidRPr="008C77B4" w:rsidRDefault="00136962" w:rsidP="00B20EFC">
            <w:pPr>
              <w:widowControl w:val="0"/>
              <w:rPr>
                <w:rFonts w:ascii="Calibri" w:eastAsia="Times New Roman" w:hAnsi="Calibri" w:cs="Calibri"/>
                <w:bCs/>
                <w:sz w:val="20"/>
                <w:szCs w:val="20"/>
                <w:lang w:val="en-US"/>
              </w:rPr>
            </w:pPr>
          </w:p>
        </w:tc>
      </w:tr>
      <w:tr w:rsidR="008C77B4" w:rsidRPr="008C77B4" w14:paraId="7D10FF99" w14:textId="77777777" w:rsidTr="00D16C4D">
        <w:tc>
          <w:tcPr>
            <w:tcW w:w="2515" w:type="dxa"/>
            <w:shd w:val="clear" w:color="auto" w:fill="FFFFFF" w:themeFill="background1"/>
          </w:tcPr>
          <w:p w14:paraId="2BE51443" w14:textId="77777777" w:rsidR="008C77B4" w:rsidRPr="008C77B4" w:rsidRDefault="008C77B4" w:rsidP="00B20EFC">
            <w:pPr>
              <w:pStyle w:val="Default"/>
              <w:widowControl w:val="0"/>
              <w:rPr>
                <w:rFonts w:eastAsia="Times New Roman"/>
                <w:b/>
                <w:bCs/>
                <w:color w:val="auto"/>
                <w:sz w:val="20"/>
                <w:szCs w:val="20"/>
              </w:rPr>
            </w:pPr>
            <w:r w:rsidRPr="008C77B4">
              <w:rPr>
                <w:rFonts w:eastAsia="Times New Roman"/>
                <w:b/>
                <w:bCs/>
                <w:color w:val="auto"/>
                <w:sz w:val="20"/>
                <w:szCs w:val="20"/>
              </w:rPr>
              <w:t>Recommendation 2</w:t>
            </w:r>
          </w:p>
          <w:p w14:paraId="0E47269C" w14:textId="77777777" w:rsidR="008C77B4" w:rsidRPr="008C77B4" w:rsidRDefault="008C77B4" w:rsidP="00B20EFC">
            <w:pPr>
              <w:pStyle w:val="Default"/>
              <w:widowControl w:val="0"/>
              <w:rPr>
                <w:rFonts w:eastAsia="Times New Roman"/>
                <w:bCs/>
                <w:color w:val="auto"/>
                <w:sz w:val="20"/>
                <w:szCs w:val="20"/>
                <w:lang w:val="en-CA"/>
              </w:rPr>
            </w:pPr>
            <w:r w:rsidRPr="008C77B4">
              <w:rPr>
                <w:rFonts w:eastAsia="Times New Roman"/>
                <w:bCs/>
                <w:color w:val="auto"/>
                <w:sz w:val="20"/>
                <w:szCs w:val="20"/>
                <w:lang w:val="en-CA"/>
              </w:rPr>
              <w:t>That the Program assess, re-evaluate, and revise their Program Objectives and Program-Level Learning Outcomes to align with degree-level expectations. As part of this review, a comprehensive curriculum mapping process should take place, which encompasses course-level outcomes.</w:t>
            </w:r>
          </w:p>
          <w:p w14:paraId="5AA0E119" w14:textId="77777777" w:rsidR="008C77B4" w:rsidRPr="008C77B4" w:rsidRDefault="008C77B4" w:rsidP="00B20EFC">
            <w:pPr>
              <w:pStyle w:val="Default"/>
              <w:widowControl w:val="0"/>
              <w:rPr>
                <w:color w:val="E97132" w:themeColor="accent2"/>
                <w:sz w:val="20"/>
                <w:szCs w:val="20"/>
              </w:rPr>
            </w:pPr>
          </w:p>
        </w:tc>
        <w:tc>
          <w:tcPr>
            <w:tcW w:w="3420" w:type="dxa"/>
            <w:shd w:val="clear" w:color="auto" w:fill="FFFFFF" w:themeFill="background1"/>
          </w:tcPr>
          <w:p w14:paraId="68E85F49"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The Program is encouraged to work with the Centre for Teaching and Learning to develop appropriate Program Objectives and Program Level-Learning Objectives that reflect program content and curriculum.</w:t>
            </w:r>
          </w:p>
          <w:p w14:paraId="359C603E" w14:textId="77777777" w:rsidR="008C77B4" w:rsidRPr="008C77B4" w:rsidRDefault="008C77B4" w:rsidP="00B20EFC">
            <w:pPr>
              <w:widowControl w:val="0"/>
              <w:rPr>
                <w:rFonts w:ascii="Calibri" w:eastAsia="Times New Roman" w:hAnsi="Calibri" w:cs="Calibri"/>
                <w:bCs/>
                <w:sz w:val="20"/>
                <w:szCs w:val="20"/>
                <w:lang w:val="en-US"/>
              </w:rPr>
            </w:pPr>
          </w:p>
          <w:p w14:paraId="4B24F381"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The Implementation Report will include a detailed list of Program Objectives and Program-Level Learning Outcomes.</w:t>
            </w:r>
          </w:p>
          <w:p w14:paraId="639E728E" w14:textId="77777777" w:rsidR="008C77B4" w:rsidRPr="008C77B4" w:rsidRDefault="008C77B4" w:rsidP="00B20EFC">
            <w:pPr>
              <w:widowControl w:val="0"/>
              <w:rPr>
                <w:rFonts w:ascii="Calibri" w:eastAsia="Times New Roman" w:hAnsi="Calibri" w:cs="Calibri"/>
                <w:bCs/>
                <w:sz w:val="20"/>
                <w:szCs w:val="20"/>
                <w:lang w:val="en-US"/>
              </w:rPr>
            </w:pPr>
          </w:p>
        </w:tc>
        <w:tc>
          <w:tcPr>
            <w:tcW w:w="1890" w:type="dxa"/>
            <w:shd w:val="clear" w:color="auto" w:fill="FFFFFF" w:themeFill="background1"/>
          </w:tcPr>
          <w:p w14:paraId="509D917E" w14:textId="77777777" w:rsidR="008C77B4" w:rsidRPr="008C77B4" w:rsidRDefault="008C77B4" w:rsidP="00B20EFC">
            <w:pPr>
              <w:widowControl w:val="0"/>
              <w:rPr>
                <w:rFonts w:ascii="Calibri" w:eastAsia="Times New Roman" w:hAnsi="Calibri" w:cs="Calibri"/>
                <w:bCs/>
                <w:iCs/>
                <w:sz w:val="20"/>
                <w:szCs w:val="20"/>
                <w:lang w:val="en-US"/>
              </w:rPr>
            </w:pPr>
            <w:r w:rsidRPr="008C77B4">
              <w:rPr>
                <w:rFonts w:ascii="Calibri" w:eastAsia="Times New Roman" w:hAnsi="Calibri" w:cs="Calibri"/>
                <w:bCs/>
                <w:iCs/>
                <w:sz w:val="20"/>
                <w:szCs w:val="20"/>
                <w:lang w:val="en-US"/>
              </w:rPr>
              <w:t>Program Objectives and Program-Level Learning Outcomes should be in place for the 2025-26 academic year.</w:t>
            </w:r>
          </w:p>
        </w:tc>
        <w:tc>
          <w:tcPr>
            <w:tcW w:w="2880" w:type="dxa"/>
            <w:shd w:val="clear" w:color="auto" w:fill="FFFFFF" w:themeFill="background1"/>
          </w:tcPr>
          <w:p w14:paraId="47E37BCB" w14:textId="2891B02C" w:rsidR="00136962" w:rsidRPr="008C77B4" w:rsidRDefault="00C51763" w:rsidP="00B20EFC">
            <w:pPr>
              <w:widowControl w:val="0"/>
              <w:rPr>
                <w:rFonts w:ascii="Calibri" w:eastAsia="Times New Roman" w:hAnsi="Calibri" w:cs="Calibri"/>
                <w:bCs/>
                <w:sz w:val="20"/>
                <w:szCs w:val="20"/>
                <w:lang w:val="en-US"/>
              </w:rPr>
            </w:pPr>
            <w:r>
              <w:rPr>
                <w:rFonts w:ascii="Calibri" w:eastAsia="Times New Roman" w:hAnsi="Calibri" w:cs="Calibri"/>
                <w:bCs/>
                <w:sz w:val="20"/>
                <w:szCs w:val="20"/>
                <w:lang w:val="en-US"/>
              </w:rPr>
              <w:t xml:space="preserve">The Program curriculum committee was reinvigorated and conducted a review and revision of the </w:t>
            </w:r>
            <w:r w:rsidRPr="008C77B4">
              <w:rPr>
                <w:rFonts w:ascii="Calibri" w:eastAsia="Times New Roman" w:hAnsi="Calibri" w:cs="Calibri"/>
                <w:bCs/>
                <w:sz w:val="20"/>
                <w:szCs w:val="20"/>
                <w:lang w:val="en-US"/>
              </w:rPr>
              <w:t>Program Objectives and Program-Level Learning Outcomes</w:t>
            </w:r>
            <w:r>
              <w:rPr>
                <w:rFonts w:ascii="Calibri" w:eastAsia="Times New Roman" w:hAnsi="Calibri" w:cs="Calibri"/>
                <w:bCs/>
                <w:sz w:val="20"/>
                <w:szCs w:val="20"/>
                <w:lang w:val="en-US"/>
              </w:rPr>
              <w:t xml:space="preserve"> in October 2024</w:t>
            </w:r>
            <w:r w:rsidR="00BD5285">
              <w:rPr>
                <w:rFonts w:ascii="Calibri" w:eastAsia="Times New Roman" w:hAnsi="Calibri" w:cs="Calibri"/>
                <w:bCs/>
                <w:sz w:val="20"/>
                <w:szCs w:val="20"/>
                <w:lang w:val="en-US"/>
              </w:rPr>
              <w:t>.</w:t>
            </w:r>
            <w:r>
              <w:rPr>
                <w:rFonts w:ascii="Calibri" w:eastAsia="Times New Roman" w:hAnsi="Calibri" w:cs="Calibri"/>
                <w:bCs/>
                <w:sz w:val="20"/>
                <w:szCs w:val="20"/>
                <w:lang w:val="en-US"/>
              </w:rPr>
              <w:t xml:space="preserve"> We also mapped the curriculum and revised course-level learning outcomes to align with Program Objectives.  </w:t>
            </w:r>
          </w:p>
        </w:tc>
      </w:tr>
      <w:tr w:rsidR="008C77B4" w:rsidRPr="008C77B4" w14:paraId="0BD6E8BB" w14:textId="77777777" w:rsidTr="00D16C4D">
        <w:tc>
          <w:tcPr>
            <w:tcW w:w="2515" w:type="dxa"/>
            <w:shd w:val="clear" w:color="auto" w:fill="FFFFFF" w:themeFill="background1"/>
          </w:tcPr>
          <w:p w14:paraId="102A7D28" w14:textId="77777777" w:rsidR="008C77B4" w:rsidRPr="008C77B4" w:rsidRDefault="008C77B4" w:rsidP="00B20EFC">
            <w:pPr>
              <w:pStyle w:val="Default"/>
              <w:widowControl w:val="0"/>
              <w:rPr>
                <w:rFonts w:eastAsia="Times New Roman"/>
                <w:b/>
                <w:bCs/>
                <w:color w:val="auto"/>
                <w:sz w:val="20"/>
                <w:szCs w:val="20"/>
              </w:rPr>
            </w:pPr>
            <w:r w:rsidRPr="008C77B4">
              <w:rPr>
                <w:rFonts w:eastAsia="Times New Roman"/>
                <w:b/>
                <w:bCs/>
                <w:color w:val="auto"/>
                <w:sz w:val="20"/>
                <w:szCs w:val="20"/>
              </w:rPr>
              <w:t>Recommendation 3</w:t>
            </w:r>
          </w:p>
          <w:p w14:paraId="491022A6" w14:textId="77777777" w:rsidR="008C77B4" w:rsidRPr="008C77B4" w:rsidRDefault="008C77B4" w:rsidP="00B20EFC">
            <w:pPr>
              <w:pStyle w:val="Default"/>
              <w:widowControl w:val="0"/>
              <w:rPr>
                <w:rFonts w:eastAsia="Times New Roman"/>
                <w:bCs/>
                <w:color w:val="auto"/>
                <w:sz w:val="20"/>
                <w:szCs w:val="20"/>
                <w:lang w:val="en-CA"/>
              </w:rPr>
            </w:pPr>
            <w:r w:rsidRPr="008C77B4">
              <w:rPr>
                <w:rFonts w:eastAsia="Times New Roman"/>
                <w:bCs/>
                <w:color w:val="auto"/>
                <w:sz w:val="20"/>
                <w:szCs w:val="20"/>
                <w:lang w:val="en-CA"/>
              </w:rPr>
              <w:t xml:space="preserve">That the Program revise the </w:t>
            </w:r>
            <w:r w:rsidRPr="008C77B4">
              <w:rPr>
                <w:rFonts w:eastAsia="Times New Roman"/>
                <w:bCs/>
                <w:color w:val="auto"/>
                <w:sz w:val="20"/>
                <w:szCs w:val="20"/>
                <w:lang w:val="en-CA"/>
              </w:rPr>
              <w:lastRenderedPageBreak/>
              <w:t xml:space="preserve">current GTA model to increase employment opportunities, enhance cross-disciplinarity for students, and improve overall student experiences. </w:t>
            </w:r>
          </w:p>
          <w:p w14:paraId="0B0E2036" w14:textId="77777777" w:rsidR="008C77B4" w:rsidRPr="008C77B4" w:rsidRDefault="008C77B4" w:rsidP="00B20EFC">
            <w:pPr>
              <w:pStyle w:val="Default"/>
              <w:widowControl w:val="0"/>
              <w:rPr>
                <w:color w:val="E97132" w:themeColor="accent2"/>
                <w:sz w:val="20"/>
                <w:szCs w:val="20"/>
              </w:rPr>
            </w:pPr>
          </w:p>
        </w:tc>
        <w:tc>
          <w:tcPr>
            <w:tcW w:w="3420" w:type="dxa"/>
            <w:shd w:val="clear" w:color="auto" w:fill="FFFFFF" w:themeFill="background1"/>
          </w:tcPr>
          <w:p w14:paraId="37F66C4B"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lastRenderedPageBreak/>
              <w:t xml:space="preserve">No follow-up required. </w:t>
            </w:r>
          </w:p>
          <w:p w14:paraId="03A54753" w14:textId="77777777" w:rsidR="008C77B4" w:rsidRPr="008C77B4" w:rsidRDefault="008C77B4" w:rsidP="00B20EFC">
            <w:pPr>
              <w:widowControl w:val="0"/>
              <w:rPr>
                <w:rFonts w:ascii="Calibri" w:eastAsia="Times New Roman" w:hAnsi="Calibri" w:cs="Calibri"/>
                <w:bCs/>
                <w:sz w:val="20"/>
                <w:szCs w:val="20"/>
                <w:lang w:val="en-US"/>
              </w:rPr>
            </w:pPr>
          </w:p>
          <w:p w14:paraId="76ADF8F7"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lastRenderedPageBreak/>
              <w:t xml:space="preserve">There is a process in place that assigns GTAs and allows students to request a department change. </w:t>
            </w:r>
          </w:p>
        </w:tc>
        <w:tc>
          <w:tcPr>
            <w:tcW w:w="1890" w:type="dxa"/>
            <w:shd w:val="clear" w:color="auto" w:fill="D9D9D9" w:themeFill="background1" w:themeFillShade="D9"/>
          </w:tcPr>
          <w:p w14:paraId="0B351651" w14:textId="77777777" w:rsidR="008C77B4" w:rsidRPr="008C77B4" w:rsidRDefault="008C77B4" w:rsidP="00B20EFC">
            <w:pPr>
              <w:widowControl w:val="0"/>
              <w:jc w:val="center"/>
              <w:rPr>
                <w:rFonts w:ascii="Calibri" w:eastAsia="Times New Roman" w:hAnsi="Calibri" w:cs="Calibri"/>
                <w:bCs/>
                <w:iCs/>
                <w:sz w:val="20"/>
                <w:szCs w:val="20"/>
                <w:lang w:val="en-US"/>
              </w:rPr>
            </w:pPr>
          </w:p>
        </w:tc>
        <w:tc>
          <w:tcPr>
            <w:tcW w:w="2880" w:type="dxa"/>
            <w:shd w:val="clear" w:color="auto" w:fill="D9D9D9" w:themeFill="background1" w:themeFillShade="D9"/>
          </w:tcPr>
          <w:p w14:paraId="0EA5DB33" w14:textId="77777777" w:rsidR="008C77B4" w:rsidRPr="008C77B4" w:rsidRDefault="008C77B4" w:rsidP="00B20EFC">
            <w:pPr>
              <w:widowControl w:val="0"/>
              <w:jc w:val="center"/>
              <w:rPr>
                <w:rFonts w:ascii="Calibri" w:eastAsia="Times New Roman" w:hAnsi="Calibri" w:cs="Calibri"/>
                <w:bCs/>
                <w:sz w:val="20"/>
                <w:szCs w:val="20"/>
                <w:lang w:val="en-US"/>
              </w:rPr>
            </w:pPr>
          </w:p>
        </w:tc>
      </w:tr>
      <w:tr w:rsidR="008C77B4" w:rsidRPr="008C77B4" w14:paraId="16D947CC" w14:textId="77777777" w:rsidTr="00D16C4D">
        <w:tc>
          <w:tcPr>
            <w:tcW w:w="2515" w:type="dxa"/>
            <w:shd w:val="clear" w:color="auto" w:fill="FFFFFF" w:themeFill="background1"/>
          </w:tcPr>
          <w:p w14:paraId="4EAB000F" w14:textId="77777777" w:rsidR="008C77B4" w:rsidRPr="008C77B4" w:rsidRDefault="008C77B4" w:rsidP="00B20EFC">
            <w:pPr>
              <w:pStyle w:val="Default"/>
              <w:widowControl w:val="0"/>
              <w:rPr>
                <w:rFonts w:eastAsia="Times New Roman"/>
                <w:b/>
                <w:bCs/>
                <w:color w:val="auto"/>
                <w:sz w:val="20"/>
                <w:szCs w:val="20"/>
              </w:rPr>
            </w:pPr>
            <w:r w:rsidRPr="008C77B4">
              <w:rPr>
                <w:rFonts w:eastAsia="Times New Roman"/>
                <w:b/>
                <w:bCs/>
                <w:color w:val="auto"/>
                <w:sz w:val="20"/>
                <w:szCs w:val="20"/>
              </w:rPr>
              <w:t>Recommendation 4</w:t>
            </w:r>
          </w:p>
          <w:p w14:paraId="112E2D26" w14:textId="77777777" w:rsidR="008C77B4" w:rsidRPr="008C77B4" w:rsidRDefault="008C77B4" w:rsidP="00B20EFC">
            <w:pPr>
              <w:pStyle w:val="Default"/>
              <w:widowControl w:val="0"/>
              <w:rPr>
                <w:rFonts w:eastAsia="Times New Roman"/>
                <w:bCs/>
                <w:color w:val="auto"/>
                <w:sz w:val="20"/>
                <w:szCs w:val="20"/>
                <w:lang w:val="en-CA"/>
              </w:rPr>
            </w:pPr>
            <w:r w:rsidRPr="008C77B4">
              <w:rPr>
                <w:rFonts w:eastAsia="Times New Roman"/>
                <w:bCs/>
                <w:color w:val="auto"/>
                <w:sz w:val="20"/>
                <w:szCs w:val="20"/>
                <w:lang w:val="en-CA"/>
              </w:rPr>
              <w:t>That the Program find innovative solutions to ensure students have optimum access to career opportunities and improve their employment-related skills (e.g., online self-study courses, specific training, engagement with alumni, and career development).</w:t>
            </w:r>
          </w:p>
          <w:p w14:paraId="3386BB49" w14:textId="77777777" w:rsidR="008C77B4" w:rsidRPr="008C77B4" w:rsidRDefault="008C77B4" w:rsidP="00B20EFC">
            <w:pPr>
              <w:pStyle w:val="Default"/>
              <w:widowControl w:val="0"/>
              <w:rPr>
                <w:rFonts w:eastAsia="Times New Roman"/>
                <w:bCs/>
                <w:color w:val="auto"/>
                <w:sz w:val="20"/>
                <w:szCs w:val="20"/>
                <w:lang w:val="en-CA"/>
              </w:rPr>
            </w:pPr>
          </w:p>
        </w:tc>
        <w:tc>
          <w:tcPr>
            <w:tcW w:w="3420" w:type="dxa"/>
            <w:shd w:val="clear" w:color="auto" w:fill="FFFFFF" w:themeFill="background1"/>
          </w:tcPr>
          <w:p w14:paraId="52CBA700"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Although there are programs underway to enhance these experiences, the Program is encouraged to work with Careerspace, the Centre for Teaching and Learning and Academic Skills to provide relevant workshops to graduate students.</w:t>
            </w:r>
          </w:p>
          <w:p w14:paraId="69D28FC7" w14:textId="77777777" w:rsidR="008C77B4" w:rsidRPr="008C77B4" w:rsidRDefault="008C77B4" w:rsidP="00B20EFC">
            <w:pPr>
              <w:widowControl w:val="0"/>
              <w:rPr>
                <w:rFonts w:ascii="Calibri" w:eastAsia="Times New Roman" w:hAnsi="Calibri" w:cs="Calibri"/>
                <w:bCs/>
                <w:sz w:val="20"/>
                <w:szCs w:val="20"/>
                <w:lang w:val="en-US"/>
              </w:rPr>
            </w:pPr>
          </w:p>
          <w:p w14:paraId="4DE2AAE5"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The Implementation Report should provide an update on additional training available to students.</w:t>
            </w:r>
          </w:p>
          <w:p w14:paraId="0BC2F8B9" w14:textId="77777777" w:rsidR="008C77B4" w:rsidRPr="008C77B4" w:rsidRDefault="008C77B4" w:rsidP="00B20EFC">
            <w:pPr>
              <w:widowControl w:val="0"/>
              <w:rPr>
                <w:rFonts w:ascii="Calibri" w:eastAsia="Times New Roman" w:hAnsi="Calibri" w:cs="Calibri"/>
                <w:bCs/>
                <w:sz w:val="20"/>
                <w:szCs w:val="20"/>
                <w:lang w:val="en-US"/>
              </w:rPr>
            </w:pPr>
          </w:p>
        </w:tc>
        <w:tc>
          <w:tcPr>
            <w:tcW w:w="1890" w:type="dxa"/>
            <w:shd w:val="clear" w:color="auto" w:fill="FFFFFF" w:themeFill="background1"/>
          </w:tcPr>
          <w:p w14:paraId="51CC8967" w14:textId="2EB7D5FA" w:rsidR="008C77B4" w:rsidRPr="008C77B4" w:rsidRDefault="008C77B4" w:rsidP="00B20EFC">
            <w:pPr>
              <w:widowControl w:val="0"/>
              <w:rPr>
                <w:rFonts w:ascii="Calibri" w:eastAsia="Times New Roman" w:hAnsi="Calibri" w:cs="Calibri"/>
                <w:bCs/>
                <w:iCs/>
                <w:sz w:val="20"/>
                <w:szCs w:val="20"/>
                <w:lang w:val="en-US"/>
              </w:rPr>
            </w:pPr>
            <w:r w:rsidRPr="008C77B4">
              <w:rPr>
                <w:rFonts w:ascii="Calibri" w:eastAsia="Times New Roman" w:hAnsi="Calibri" w:cs="Calibri"/>
                <w:bCs/>
                <w:iCs/>
                <w:sz w:val="20"/>
                <w:szCs w:val="20"/>
                <w:lang w:val="en-US"/>
              </w:rPr>
              <w:t>To be reported on May 1, 2025</w:t>
            </w:r>
            <w:r w:rsidR="00D16C4D">
              <w:rPr>
                <w:rFonts w:ascii="Calibri" w:eastAsia="Times New Roman" w:hAnsi="Calibri" w:cs="Calibri"/>
                <w:bCs/>
                <w:iCs/>
                <w:sz w:val="20"/>
                <w:szCs w:val="20"/>
                <w:lang w:val="en-US"/>
              </w:rPr>
              <w:t>.</w:t>
            </w:r>
          </w:p>
          <w:p w14:paraId="2EC0171A" w14:textId="77777777" w:rsidR="008C77B4" w:rsidRPr="008C77B4" w:rsidRDefault="008C77B4" w:rsidP="00B20EFC">
            <w:pPr>
              <w:widowControl w:val="0"/>
              <w:rPr>
                <w:rFonts w:ascii="Calibri" w:eastAsia="Times New Roman" w:hAnsi="Calibri" w:cs="Calibri"/>
                <w:bCs/>
                <w:iCs/>
                <w:sz w:val="20"/>
                <w:szCs w:val="20"/>
                <w:lang w:val="en-US"/>
              </w:rPr>
            </w:pPr>
          </w:p>
        </w:tc>
        <w:tc>
          <w:tcPr>
            <w:tcW w:w="2880" w:type="dxa"/>
            <w:shd w:val="clear" w:color="auto" w:fill="FFFFFF" w:themeFill="background1"/>
          </w:tcPr>
          <w:p w14:paraId="35866BAD" w14:textId="2DF798FD" w:rsidR="00136962" w:rsidRDefault="00C51763" w:rsidP="00B20EFC">
            <w:pPr>
              <w:widowControl w:val="0"/>
              <w:rPr>
                <w:rFonts w:ascii="Calibri" w:eastAsia="Times New Roman" w:hAnsi="Calibri" w:cs="Calibri"/>
                <w:bCs/>
                <w:sz w:val="20"/>
                <w:szCs w:val="20"/>
                <w:lang w:val="en-US"/>
              </w:rPr>
            </w:pPr>
            <w:r>
              <w:rPr>
                <w:rFonts w:ascii="Calibri" w:eastAsia="Times New Roman" w:hAnsi="Calibri" w:cs="Calibri"/>
                <w:bCs/>
                <w:sz w:val="20"/>
                <w:szCs w:val="20"/>
                <w:lang w:val="en-US"/>
              </w:rPr>
              <w:t xml:space="preserve">The Program </w:t>
            </w:r>
            <w:r w:rsidR="00136962">
              <w:rPr>
                <w:rFonts w:ascii="Calibri" w:eastAsia="Times New Roman" w:hAnsi="Calibri" w:cs="Calibri"/>
                <w:bCs/>
                <w:sz w:val="20"/>
                <w:szCs w:val="20"/>
                <w:lang w:val="en-US"/>
              </w:rPr>
              <w:t xml:space="preserve">explored existing offerings from </w:t>
            </w:r>
            <w:proofErr w:type="spellStart"/>
            <w:r w:rsidR="00136962">
              <w:rPr>
                <w:rFonts w:ascii="Calibri" w:eastAsia="Times New Roman" w:hAnsi="Calibri" w:cs="Calibri"/>
                <w:bCs/>
                <w:sz w:val="20"/>
                <w:szCs w:val="20"/>
                <w:lang w:val="en-US"/>
              </w:rPr>
              <w:t>Mitacs</w:t>
            </w:r>
            <w:proofErr w:type="spellEnd"/>
            <w:r w:rsidR="00136962">
              <w:rPr>
                <w:rFonts w:ascii="Calibri" w:eastAsia="Times New Roman" w:hAnsi="Calibri" w:cs="Calibri"/>
                <w:bCs/>
                <w:sz w:val="20"/>
                <w:szCs w:val="20"/>
                <w:lang w:val="en-US"/>
              </w:rPr>
              <w:t>, Academic Skills, and the Centre for Teaching and Learning and has pointed students toward these opportunities.</w:t>
            </w:r>
          </w:p>
          <w:p w14:paraId="4DE5D3C1" w14:textId="77777777" w:rsidR="00136962" w:rsidRDefault="00136962" w:rsidP="00B20EFC">
            <w:pPr>
              <w:widowControl w:val="0"/>
              <w:rPr>
                <w:rFonts w:ascii="Calibri" w:eastAsia="Times New Roman" w:hAnsi="Calibri" w:cs="Calibri"/>
                <w:bCs/>
                <w:sz w:val="20"/>
                <w:szCs w:val="20"/>
                <w:lang w:val="en-US"/>
              </w:rPr>
            </w:pPr>
          </w:p>
          <w:p w14:paraId="6DE97AB6" w14:textId="057ED4CE" w:rsidR="00136962" w:rsidRDefault="00136962" w:rsidP="00136962">
            <w:pPr>
              <w:widowControl w:val="0"/>
              <w:rPr>
                <w:rFonts w:ascii="Calibri" w:eastAsia="Times New Roman" w:hAnsi="Calibri" w:cs="Calibri"/>
                <w:bCs/>
                <w:sz w:val="20"/>
                <w:szCs w:val="20"/>
                <w:lang w:val="en-US"/>
              </w:rPr>
            </w:pPr>
            <w:r>
              <w:rPr>
                <w:rFonts w:ascii="Calibri" w:eastAsia="Times New Roman" w:hAnsi="Calibri" w:cs="Calibri"/>
                <w:bCs/>
                <w:sz w:val="20"/>
                <w:szCs w:val="20"/>
                <w:lang w:val="en-US"/>
              </w:rPr>
              <w:t xml:space="preserve">The Program has also hosted alumni in our colloquium as speakers </w:t>
            </w:r>
            <w:proofErr w:type="gramStart"/>
            <w:r w:rsidR="00BD5285">
              <w:rPr>
                <w:rFonts w:ascii="Calibri" w:eastAsia="Times New Roman" w:hAnsi="Calibri" w:cs="Calibri"/>
                <w:bCs/>
                <w:sz w:val="20"/>
                <w:szCs w:val="20"/>
                <w:lang w:val="en-US"/>
              </w:rPr>
              <w:t>in order to</w:t>
            </w:r>
            <w:proofErr w:type="gramEnd"/>
            <w:r w:rsidR="00BD5285">
              <w:rPr>
                <w:rFonts w:ascii="Calibri" w:eastAsia="Times New Roman" w:hAnsi="Calibri" w:cs="Calibri"/>
                <w:bCs/>
                <w:sz w:val="20"/>
                <w:szCs w:val="20"/>
                <w:lang w:val="en-US"/>
              </w:rPr>
              <w:t xml:space="preserve"> provide networking opportunities for students</w:t>
            </w:r>
            <w:r>
              <w:rPr>
                <w:rFonts w:ascii="Calibri" w:eastAsia="Times New Roman" w:hAnsi="Calibri" w:cs="Calibri"/>
                <w:bCs/>
                <w:sz w:val="20"/>
                <w:szCs w:val="20"/>
                <w:lang w:val="en-US"/>
              </w:rPr>
              <w:t xml:space="preserve">. The </w:t>
            </w:r>
            <w:r w:rsidR="00BD5285">
              <w:rPr>
                <w:rFonts w:ascii="Calibri" w:eastAsia="Times New Roman" w:hAnsi="Calibri" w:cs="Calibri"/>
                <w:bCs/>
                <w:sz w:val="20"/>
                <w:szCs w:val="20"/>
                <w:lang w:val="en-US"/>
              </w:rPr>
              <w:t>P</w:t>
            </w:r>
            <w:r>
              <w:rPr>
                <w:rFonts w:ascii="Calibri" w:eastAsia="Times New Roman" w:hAnsi="Calibri" w:cs="Calibri"/>
                <w:bCs/>
                <w:sz w:val="20"/>
                <w:szCs w:val="20"/>
                <w:lang w:val="en-US"/>
              </w:rPr>
              <w:t xml:space="preserve">rogram is interested in connecting with the Alumni Office to discuss a Sustainability Studies specific event. </w:t>
            </w:r>
          </w:p>
          <w:p w14:paraId="1A42FC64" w14:textId="43B61368" w:rsidR="00136962" w:rsidRPr="008C77B4" w:rsidRDefault="00136962" w:rsidP="00136962">
            <w:pPr>
              <w:widowControl w:val="0"/>
              <w:rPr>
                <w:rFonts w:ascii="Calibri" w:eastAsia="Times New Roman" w:hAnsi="Calibri" w:cs="Calibri"/>
                <w:bCs/>
                <w:sz w:val="20"/>
                <w:szCs w:val="20"/>
                <w:lang w:val="en-US"/>
              </w:rPr>
            </w:pPr>
          </w:p>
        </w:tc>
      </w:tr>
      <w:tr w:rsidR="008C77B4" w:rsidRPr="008C77B4" w14:paraId="05F7EC0F" w14:textId="77777777" w:rsidTr="00D16C4D">
        <w:tc>
          <w:tcPr>
            <w:tcW w:w="2515" w:type="dxa"/>
            <w:shd w:val="clear" w:color="auto" w:fill="FFFFFF" w:themeFill="background1"/>
          </w:tcPr>
          <w:p w14:paraId="28A40AD1" w14:textId="77777777" w:rsidR="008C77B4" w:rsidRPr="008C77B4" w:rsidRDefault="008C77B4" w:rsidP="00B20EFC">
            <w:pPr>
              <w:pStyle w:val="Default"/>
              <w:widowControl w:val="0"/>
              <w:rPr>
                <w:rFonts w:eastAsia="Times New Roman"/>
                <w:b/>
                <w:bCs/>
                <w:color w:val="auto"/>
                <w:sz w:val="20"/>
                <w:szCs w:val="20"/>
              </w:rPr>
            </w:pPr>
            <w:r w:rsidRPr="008C77B4">
              <w:rPr>
                <w:rFonts w:eastAsia="Times New Roman"/>
                <w:b/>
                <w:bCs/>
                <w:color w:val="auto"/>
                <w:sz w:val="20"/>
                <w:szCs w:val="20"/>
              </w:rPr>
              <w:t>Recommendation 5</w:t>
            </w:r>
          </w:p>
          <w:p w14:paraId="383FC61F" w14:textId="77777777" w:rsidR="008C77B4" w:rsidRPr="008C77B4" w:rsidRDefault="008C77B4" w:rsidP="00B20EFC">
            <w:pPr>
              <w:pStyle w:val="Default"/>
              <w:widowControl w:val="0"/>
              <w:rPr>
                <w:rFonts w:eastAsia="Times New Roman"/>
                <w:bCs/>
                <w:color w:val="auto"/>
                <w:sz w:val="20"/>
                <w:szCs w:val="20"/>
                <w:lang w:val="en-CA"/>
              </w:rPr>
            </w:pPr>
            <w:r w:rsidRPr="008C77B4">
              <w:rPr>
                <w:rFonts w:eastAsia="Times New Roman"/>
                <w:bCs/>
                <w:color w:val="auto"/>
                <w:sz w:val="20"/>
                <w:szCs w:val="20"/>
                <w:lang w:val="en-CA"/>
              </w:rPr>
              <w:t>That the process for assigning student supervisors and related responsibilities be formalized to ensure equity among faculty members.</w:t>
            </w:r>
          </w:p>
          <w:p w14:paraId="01A07712" w14:textId="77777777" w:rsidR="008C77B4" w:rsidRPr="008C77B4" w:rsidRDefault="008C77B4" w:rsidP="00B20EFC">
            <w:pPr>
              <w:pStyle w:val="Default"/>
              <w:widowControl w:val="0"/>
              <w:rPr>
                <w:rFonts w:eastAsia="Times New Roman"/>
                <w:b/>
                <w:bCs/>
                <w:sz w:val="20"/>
                <w:szCs w:val="20"/>
              </w:rPr>
            </w:pPr>
          </w:p>
        </w:tc>
        <w:tc>
          <w:tcPr>
            <w:tcW w:w="3420" w:type="dxa"/>
            <w:shd w:val="clear" w:color="auto" w:fill="FFFFFF" w:themeFill="background1"/>
          </w:tcPr>
          <w:p w14:paraId="04049EEC"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No follow-up required.</w:t>
            </w:r>
          </w:p>
          <w:p w14:paraId="40516BBF" w14:textId="77777777" w:rsidR="008C77B4" w:rsidRPr="008C77B4" w:rsidRDefault="008C77B4" w:rsidP="00B20EFC">
            <w:pPr>
              <w:widowControl w:val="0"/>
              <w:rPr>
                <w:rFonts w:ascii="Calibri" w:eastAsia="Times New Roman" w:hAnsi="Calibri" w:cs="Calibri"/>
                <w:bCs/>
                <w:sz w:val="20"/>
                <w:szCs w:val="20"/>
                <w:lang w:val="en-US"/>
              </w:rPr>
            </w:pPr>
          </w:p>
          <w:p w14:paraId="0E9F6393"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 xml:space="preserve">As is the normal process at the University, admissions to the Program and faculty supervision are determined at the Program level. </w:t>
            </w:r>
          </w:p>
          <w:p w14:paraId="13BBC92F" w14:textId="77777777" w:rsidR="008C77B4" w:rsidRPr="008C77B4" w:rsidRDefault="008C77B4" w:rsidP="00B20EFC">
            <w:pPr>
              <w:widowControl w:val="0"/>
              <w:rPr>
                <w:rFonts w:ascii="Calibri" w:eastAsia="Times New Roman" w:hAnsi="Calibri" w:cs="Calibri"/>
                <w:bCs/>
                <w:sz w:val="20"/>
                <w:szCs w:val="20"/>
                <w:lang w:val="en-US"/>
              </w:rPr>
            </w:pPr>
          </w:p>
        </w:tc>
        <w:tc>
          <w:tcPr>
            <w:tcW w:w="1890" w:type="dxa"/>
            <w:shd w:val="clear" w:color="auto" w:fill="D9D9D9" w:themeFill="background1" w:themeFillShade="D9"/>
          </w:tcPr>
          <w:p w14:paraId="2621CE31" w14:textId="77777777" w:rsidR="008C77B4" w:rsidRPr="008C77B4" w:rsidRDefault="008C77B4" w:rsidP="00B20EFC">
            <w:pPr>
              <w:widowControl w:val="0"/>
              <w:rPr>
                <w:rFonts w:ascii="Calibri" w:eastAsia="Times New Roman" w:hAnsi="Calibri" w:cs="Calibri"/>
                <w:bCs/>
                <w:iCs/>
                <w:sz w:val="20"/>
                <w:szCs w:val="20"/>
                <w:lang w:val="en-US"/>
              </w:rPr>
            </w:pPr>
          </w:p>
        </w:tc>
        <w:tc>
          <w:tcPr>
            <w:tcW w:w="2880" w:type="dxa"/>
            <w:shd w:val="clear" w:color="auto" w:fill="D9D9D9" w:themeFill="background1" w:themeFillShade="D9"/>
          </w:tcPr>
          <w:p w14:paraId="79EFF787" w14:textId="77777777" w:rsidR="008C77B4" w:rsidRPr="008C77B4" w:rsidRDefault="008C77B4" w:rsidP="00B20EFC">
            <w:pPr>
              <w:widowControl w:val="0"/>
              <w:jc w:val="center"/>
              <w:rPr>
                <w:rFonts w:ascii="Calibri" w:eastAsia="Times New Roman" w:hAnsi="Calibri" w:cs="Calibri"/>
                <w:bCs/>
                <w:sz w:val="20"/>
                <w:szCs w:val="20"/>
                <w:lang w:val="en-US"/>
              </w:rPr>
            </w:pPr>
          </w:p>
        </w:tc>
      </w:tr>
      <w:tr w:rsidR="008C77B4" w:rsidRPr="008C77B4" w14:paraId="3B72ABAD" w14:textId="77777777" w:rsidTr="00D16C4D">
        <w:tc>
          <w:tcPr>
            <w:tcW w:w="2515" w:type="dxa"/>
            <w:shd w:val="clear" w:color="auto" w:fill="FFFFFF" w:themeFill="background1"/>
          </w:tcPr>
          <w:p w14:paraId="1327B23A" w14:textId="77777777" w:rsidR="008C77B4" w:rsidRPr="008C77B4" w:rsidRDefault="008C77B4" w:rsidP="00B20EFC">
            <w:pPr>
              <w:widowControl w:val="0"/>
              <w:tabs>
                <w:tab w:val="left" w:pos="360"/>
              </w:tabs>
              <w:rPr>
                <w:rFonts w:ascii="Calibri" w:hAnsi="Calibri" w:cs="Calibri"/>
                <w:b/>
                <w:bCs/>
                <w:sz w:val="20"/>
                <w:szCs w:val="20"/>
              </w:rPr>
            </w:pPr>
            <w:r w:rsidRPr="008C77B4">
              <w:rPr>
                <w:rFonts w:ascii="Calibri" w:hAnsi="Calibri" w:cs="Calibri"/>
                <w:b/>
                <w:bCs/>
                <w:sz w:val="20"/>
                <w:szCs w:val="20"/>
              </w:rPr>
              <w:t>Recommendation 6</w:t>
            </w:r>
          </w:p>
          <w:p w14:paraId="74ED0614" w14:textId="77777777" w:rsidR="008C77B4" w:rsidRPr="008C77B4" w:rsidRDefault="008C77B4" w:rsidP="00B20EFC">
            <w:pPr>
              <w:pStyle w:val="Default"/>
              <w:widowControl w:val="0"/>
              <w:rPr>
                <w:rFonts w:eastAsia="Times New Roman"/>
                <w:bCs/>
                <w:color w:val="auto"/>
                <w:sz w:val="20"/>
                <w:szCs w:val="20"/>
                <w:lang w:val="en-CA"/>
              </w:rPr>
            </w:pPr>
            <w:r w:rsidRPr="008C77B4">
              <w:rPr>
                <w:rFonts w:eastAsia="Times New Roman"/>
                <w:bCs/>
                <w:color w:val="auto"/>
                <w:sz w:val="20"/>
                <w:szCs w:val="20"/>
                <w:lang w:val="en-CA"/>
              </w:rPr>
              <w:t>That the Program review the process for identifying and confirming placement opportunities.</w:t>
            </w:r>
          </w:p>
          <w:p w14:paraId="440F1125" w14:textId="77777777" w:rsidR="008C77B4" w:rsidRPr="008C77B4" w:rsidRDefault="008C77B4" w:rsidP="00B20EFC">
            <w:pPr>
              <w:pStyle w:val="Default"/>
              <w:widowControl w:val="0"/>
              <w:rPr>
                <w:rFonts w:eastAsia="Times New Roman"/>
                <w:b/>
                <w:bCs/>
                <w:sz w:val="20"/>
                <w:szCs w:val="20"/>
              </w:rPr>
            </w:pPr>
          </w:p>
        </w:tc>
        <w:tc>
          <w:tcPr>
            <w:tcW w:w="3420" w:type="dxa"/>
            <w:shd w:val="clear" w:color="auto" w:fill="FFFFFF" w:themeFill="background1"/>
          </w:tcPr>
          <w:p w14:paraId="1111973B"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The Program should explore opportunities for external collaborations, partnerships and relationships that will lead to placement opportunities for their students and consider working with Careerspace.</w:t>
            </w:r>
          </w:p>
          <w:p w14:paraId="6AE35D4A" w14:textId="77777777" w:rsidR="008C77B4" w:rsidRPr="008C77B4" w:rsidRDefault="008C77B4" w:rsidP="00B20EFC">
            <w:pPr>
              <w:widowControl w:val="0"/>
              <w:rPr>
                <w:rFonts w:ascii="Calibri" w:eastAsia="Times New Roman" w:hAnsi="Calibri" w:cs="Calibri"/>
                <w:bCs/>
                <w:sz w:val="20"/>
                <w:szCs w:val="20"/>
                <w:lang w:val="en-US"/>
              </w:rPr>
            </w:pPr>
          </w:p>
          <w:p w14:paraId="2F7EDC31"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The Implementation Report should provide an update on activities that have taken place to expand partnership, hence placement potential.</w:t>
            </w:r>
          </w:p>
          <w:p w14:paraId="30D20477" w14:textId="77777777" w:rsidR="008C77B4" w:rsidRPr="008C77B4" w:rsidRDefault="008C77B4" w:rsidP="00B20EFC">
            <w:pPr>
              <w:widowControl w:val="0"/>
              <w:rPr>
                <w:rFonts w:ascii="Calibri" w:eastAsia="Times New Roman" w:hAnsi="Calibri" w:cs="Calibri"/>
                <w:bCs/>
                <w:sz w:val="20"/>
                <w:szCs w:val="20"/>
                <w:lang w:val="en-US"/>
              </w:rPr>
            </w:pPr>
          </w:p>
        </w:tc>
        <w:tc>
          <w:tcPr>
            <w:tcW w:w="1890" w:type="dxa"/>
            <w:shd w:val="clear" w:color="auto" w:fill="FFFFFF" w:themeFill="background1"/>
          </w:tcPr>
          <w:p w14:paraId="040219B5" w14:textId="5D9890EA" w:rsidR="008C77B4" w:rsidRPr="008C77B4" w:rsidRDefault="008C77B4" w:rsidP="00B20EFC">
            <w:pPr>
              <w:widowControl w:val="0"/>
              <w:rPr>
                <w:rFonts w:ascii="Calibri" w:eastAsia="Times New Roman" w:hAnsi="Calibri" w:cs="Calibri"/>
                <w:bCs/>
                <w:iCs/>
                <w:sz w:val="20"/>
                <w:szCs w:val="20"/>
                <w:lang w:val="en-US"/>
              </w:rPr>
            </w:pPr>
            <w:r w:rsidRPr="008C77B4">
              <w:rPr>
                <w:rFonts w:ascii="Calibri" w:eastAsia="Times New Roman" w:hAnsi="Calibri" w:cs="Calibri"/>
                <w:bCs/>
                <w:iCs/>
                <w:sz w:val="20"/>
                <w:szCs w:val="20"/>
                <w:lang w:val="en-US"/>
              </w:rPr>
              <w:t>May 1, 2025</w:t>
            </w:r>
            <w:r w:rsidR="00D16C4D">
              <w:rPr>
                <w:rFonts w:ascii="Calibri" w:eastAsia="Times New Roman" w:hAnsi="Calibri" w:cs="Calibri"/>
                <w:bCs/>
                <w:iCs/>
                <w:sz w:val="20"/>
                <w:szCs w:val="20"/>
                <w:lang w:val="en-US"/>
              </w:rPr>
              <w:t>.</w:t>
            </w:r>
          </w:p>
        </w:tc>
        <w:tc>
          <w:tcPr>
            <w:tcW w:w="2880" w:type="dxa"/>
            <w:shd w:val="clear" w:color="auto" w:fill="FFFFFF" w:themeFill="background1"/>
          </w:tcPr>
          <w:p w14:paraId="5FA0EB60" w14:textId="209EC049" w:rsidR="008C77B4" w:rsidRPr="008C77B4" w:rsidRDefault="00C51763" w:rsidP="00B20EFC">
            <w:pPr>
              <w:widowControl w:val="0"/>
              <w:rPr>
                <w:rFonts w:ascii="Calibri" w:eastAsia="Times New Roman" w:hAnsi="Calibri" w:cs="Calibri"/>
                <w:bCs/>
                <w:sz w:val="20"/>
                <w:szCs w:val="20"/>
                <w:lang w:val="en-US"/>
              </w:rPr>
            </w:pPr>
            <w:r>
              <w:rPr>
                <w:rFonts w:ascii="Calibri" w:eastAsia="Times New Roman" w:hAnsi="Calibri" w:cs="Calibri"/>
                <w:bCs/>
                <w:sz w:val="20"/>
                <w:szCs w:val="20"/>
                <w:lang w:val="en-US"/>
              </w:rPr>
              <w:t>The Program met with Careerspace at the end of October 202</w:t>
            </w:r>
            <w:r w:rsidR="00136962">
              <w:rPr>
                <w:rFonts w:ascii="Calibri" w:eastAsia="Times New Roman" w:hAnsi="Calibri" w:cs="Calibri"/>
                <w:bCs/>
                <w:sz w:val="20"/>
                <w:szCs w:val="20"/>
                <w:lang w:val="en-US"/>
              </w:rPr>
              <w:t>4</w:t>
            </w:r>
            <w:r>
              <w:rPr>
                <w:rFonts w:ascii="Calibri" w:eastAsia="Times New Roman" w:hAnsi="Calibri" w:cs="Calibri"/>
                <w:bCs/>
                <w:sz w:val="20"/>
                <w:szCs w:val="20"/>
                <w:lang w:val="en-US"/>
              </w:rPr>
              <w:t xml:space="preserve"> to discuss transitioning our internship to a co-op placement that will be managed by Careerspace. This transition will come into effect for the September 2026 intake. </w:t>
            </w:r>
          </w:p>
        </w:tc>
      </w:tr>
      <w:tr w:rsidR="008C77B4" w:rsidRPr="008C77B4" w14:paraId="72A8F4D5" w14:textId="77777777" w:rsidTr="00D16C4D">
        <w:tc>
          <w:tcPr>
            <w:tcW w:w="2515" w:type="dxa"/>
            <w:shd w:val="clear" w:color="auto" w:fill="FFFFFF" w:themeFill="background1"/>
          </w:tcPr>
          <w:p w14:paraId="3930D19B" w14:textId="77777777" w:rsidR="008C77B4" w:rsidRPr="008C77B4" w:rsidRDefault="008C77B4" w:rsidP="00B20EFC">
            <w:pPr>
              <w:widowControl w:val="0"/>
              <w:tabs>
                <w:tab w:val="left" w:pos="360"/>
              </w:tabs>
              <w:rPr>
                <w:rFonts w:ascii="Calibri" w:hAnsi="Calibri" w:cs="Calibri"/>
                <w:b/>
                <w:bCs/>
                <w:sz w:val="20"/>
                <w:szCs w:val="20"/>
              </w:rPr>
            </w:pPr>
            <w:r w:rsidRPr="008C77B4">
              <w:rPr>
                <w:rFonts w:ascii="Calibri" w:hAnsi="Calibri" w:cs="Calibri"/>
                <w:b/>
                <w:bCs/>
                <w:sz w:val="20"/>
                <w:szCs w:val="20"/>
              </w:rPr>
              <w:t>Recommendation 7</w:t>
            </w:r>
          </w:p>
          <w:p w14:paraId="20E60545" w14:textId="77777777" w:rsidR="008C77B4" w:rsidRPr="008C77B4" w:rsidRDefault="008C77B4" w:rsidP="00B20EFC">
            <w:pPr>
              <w:pStyle w:val="Default"/>
              <w:widowControl w:val="0"/>
              <w:rPr>
                <w:rFonts w:eastAsia="Times New Roman"/>
                <w:bCs/>
                <w:color w:val="auto"/>
                <w:sz w:val="20"/>
                <w:szCs w:val="20"/>
                <w:lang w:val="en-CA"/>
              </w:rPr>
            </w:pPr>
            <w:r w:rsidRPr="008C77B4">
              <w:rPr>
                <w:rFonts w:eastAsia="Times New Roman"/>
                <w:bCs/>
                <w:color w:val="auto"/>
                <w:sz w:val="20"/>
                <w:szCs w:val="20"/>
                <w:lang w:val="en-CA"/>
              </w:rPr>
              <w:t>That the Program work with the School of Graduate Studies to develop a formal recruitment strategy.</w:t>
            </w:r>
          </w:p>
          <w:p w14:paraId="3364F95D" w14:textId="77777777" w:rsidR="008C77B4" w:rsidRPr="008C77B4" w:rsidRDefault="008C77B4" w:rsidP="00B20EFC">
            <w:pPr>
              <w:widowControl w:val="0"/>
              <w:tabs>
                <w:tab w:val="left" w:pos="360"/>
              </w:tabs>
              <w:rPr>
                <w:rFonts w:ascii="Calibri" w:hAnsi="Calibri" w:cs="Calibri"/>
                <w:b/>
                <w:bCs/>
                <w:sz w:val="20"/>
                <w:szCs w:val="20"/>
              </w:rPr>
            </w:pPr>
          </w:p>
        </w:tc>
        <w:tc>
          <w:tcPr>
            <w:tcW w:w="3420" w:type="dxa"/>
            <w:shd w:val="clear" w:color="auto" w:fill="FFFFFF" w:themeFill="background1"/>
          </w:tcPr>
          <w:p w14:paraId="43BF41B2"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 xml:space="preserve">The Program is encouraged to continue to pursue recruitment and marketing activities in consultation/collaboration with the School of Graduate Studies. </w:t>
            </w:r>
          </w:p>
          <w:p w14:paraId="1B482C7F" w14:textId="77777777" w:rsidR="008C77B4" w:rsidRPr="008C77B4" w:rsidRDefault="008C77B4" w:rsidP="00B20EFC">
            <w:pPr>
              <w:widowControl w:val="0"/>
              <w:rPr>
                <w:rFonts w:ascii="Calibri" w:eastAsia="Times New Roman" w:hAnsi="Calibri" w:cs="Calibri"/>
                <w:bCs/>
                <w:sz w:val="20"/>
                <w:szCs w:val="20"/>
                <w:lang w:val="en-US"/>
              </w:rPr>
            </w:pPr>
          </w:p>
          <w:p w14:paraId="3ADFCE04"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Considering Recommendation 1, if the Program is housed within the School of the Environment, new opportunities for recruitment and marketing may present themselves.</w:t>
            </w:r>
          </w:p>
          <w:p w14:paraId="36EF4D0A" w14:textId="77777777" w:rsidR="008C77B4" w:rsidRPr="008C77B4" w:rsidRDefault="008C77B4" w:rsidP="00B20EFC">
            <w:pPr>
              <w:widowControl w:val="0"/>
              <w:rPr>
                <w:rFonts w:ascii="Calibri" w:eastAsia="Times New Roman" w:hAnsi="Calibri" w:cs="Calibri"/>
                <w:bCs/>
                <w:sz w:val="20"/>
                <w:szCs w:val="20"/>
                <w:lang w:val="en-US"/>
              </w:rPr>
            </w:pPr>
          </w:p>
          <w:p w14:paraId="156B4D74"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lastRenderedPageBreak/>
              <w:t>An update should be provided in the Implementation Report.</w:t>
            </w:r>
          </w:p>
          <w:p w14:paraId="5087264B" w14:textId="77777777" w:rsidR="008C77B4" w:rsidRPr="008C77B4" w:rsidRDefault="008C77B4" w:rsidP="00B20EFC">
            <w:pPr>
              <w:widowControl w:val="0"/>
              <w:rPr>
                <w:rFonts w:ascii="Calibri" w:eastAsia="Times New Roman" w:hAnsi="Calibri" w:cs="Calibri"/>
                <w:bCs/>
                <w:sz w:val="20"/>
                <w:szCs w:val="20"/>
                <w:lang w:val="en-US"/>
              </w:rPr>
            </w:pPr>
          </w:p>
        </w:tc>
        <w:tc>
          <w:tcPr>
            <w:tcW w:w="1890" w:type="dxa"/>
            <w:shd w:val="clear" w:color="auto" w:fill="FFFFFF" w:themeFill="background1"/>
          </w:tcPr>
          <w:p w14:paraId="6BD4EC33" w14:textId="77777777" w:rsidR="008C77B4" w:rsidRPr="008C77B4" w:rsidRDefault="008C77B4" w:rsidP="00B20EFC">
            <w:pPr>
              <w:widowControl w:val="0"/>
              <w:rPr>
                <w:rFonts w:ascii="Calibri" w:eastAsia="Times New Roman" w:hAnsi="Calibri" w:cs="Calibri"/>
                <w:bCs/>
                <w:iCs/>
                <w:sz w:val="20"/>
                <w:szCs w:val="20"/>
                <w:lang w:val="en-US"/>
              </w:rPr>
            </w:pPr>
            <w:r w:rsidRPr="008C77B4">
              <w:rPr>
                <w:rFonts w:ascii="Calibri" w:eastAsia="Times New Roman" w:hAnsi="Calibri" w:cs="Calibri"/>
                <w:bCs/>
                <w:iCs/>
                <w:sz w:val="20"/>
                <w:szCs w:val="20"/>
                <w:lang w:val="en-US"/>
              </w:rPr>
              <w:lastRenderedPageBreak/>
              <w:t>To be in place for next recruiting cycle.</w:t>
            </w:r>
          </w:p>
        </w:tc>
        <w:tc>
          <w:tcPr>
            <w:tcW w:w="2880" w:type="dxa"/>
            <w:shd w:val="clear" w:color="auto" w:fill="FFFFFF" w:themeFill="background1"/>
          </w:tcPr>
          <w:p w14:paraId="363F5452" w14:textId="77777777" w:rsidR="00C51763" w:rsidRDefault="00C51763" w:rsidP="00B20EFC">
            <w:pPr>
              <w:widowControl w:val="0"/>
              <w:rPr>
                <w:rFonts w:ascii="Calibri" w:eastAsia="Times New Roman" w:hAnsi="Calibri" w:cs="Calibri"/>
                <w:bCs/>
                <w:sz w:val="20"/>
                <w:szCs w:val="20"/>
                <w:lang w:val="en-US"/>
              </w:rPr>
            </w:pPr>
            <w:r>
              <w:rPr>
                <w:rFonts w:ascii="Calibri" w:eastAsia="Times New Roman" w:hAnsi="Calibri" w:cs="Calibri"/>
                <w:bCs/>
                <w:sz w:val="20"/>
                <w:szCs w:val="20"/>
                <w:lang w:val="en-US"/>
              </w:rPr>
              <w:t>The Program has taken advantage of recruitment opportunities presented by the School of Graduate Studies, including the social media advertising campaign on Instagram, LinkedIn and Facebook.</w:t>
            </w:r>
          </w:p>
          <w:p w14:paraId="62766260" w14:textId="33686E13" w:rsidR="008C77B4" w:rsidRPr="008C77B4" w:rsidRDefault="00C51763" w:rsidP="00B20EFC">
            <w:pPr>
              <w:widowControl w:val="0"/>
              <w:rPr>
                <w:rFonts w:ascii="Calibri" w:eastAsia="Times New Roman" w:hAnsi="Calibri" w:cs="Calibri"/>
                <w:bCs/>
                <w:sz w:val="20"/>
                <w:szCs w:val="20"/>
                <w:lang w:val="en-US"/>
              </w:rPr>
            </w:pPr>
            <w:r>
              <w:rPr>
                <w:rFonts w:ascii="Calibri" w:eastAsia="Times New Roman" w:hAnsi="Calibri" w:cs="Calibri"/>
                <w:bCs/>
                <w:sz w:val="20"/>
                <w:szCs w:val="20"/>
                <w:lang w:val="en-US"/>
              </w:rPr>
              <w:br/>
              <w:t xml:space="preserve">Once the program is housed in the School of the Environment, we will look for ways to align </w:t>
            </w:r>
            <w:r>
              <w:rPr>
                <w:rFonts w:ascii="Calibri" w:eastAsia="Times New Roman" w:hAnsi="Calibri" w:cs="Calibri"/>
                <w:bCs/>
                <w:sz w:val="20"/>
                <w:szCs w:val="20"/>
                <w:lang w:val="en-US"/>
              </w:rPr>
              <w:lastRenderedPageBreak/>
              <w:t xml:space="preserve">our recruitment strategies.  </w:t>
            </w:r>
          </w:p>
        </w:tc>
      </w:tr>
      <w:tr w:rsidR="008C77B4" w:rsidRPr="008C77B4" w14:paraId="076AE45C" w14:textId="77777777" w:rsidTr="00D16C4D">
        <w:tc>
          <w:tcPr>
            <w:tcW w:w="2515" w:type="dxa"/>
            <w:shd w:val="clear" w:color="auto" w:fill="FFFFFF" w:themeFill="background1"/>
          </w:tcPr>
          <w:p w14:paraId="56C5882A" w14:textId="77777777" w:rsidR="008C77B4" w:rsidRPr="008C77B4" w:rsidRDefault="008C77B4" w:rsidP="00B20EFC">
            <w:pPr>
              <w:widowControl w:val="0"/>
              <w:tabs>
                <w:tab w:val="left" w:pos="360"/>
              </w:tabs>
              <w:rPr>
                <w:rFonts w:ascii="Calibri" w:hAnsi="Calibri" w:cs="Calibri"/>
                <w:b/>
                <w:bCs/>
                <w:sz w:val="20"/>
                <w:szCs w:val="20"/>
              </w:rPr>
            </w:pPr>
            <w:r w:rsidRPr="008C77B4">
              <w:rPr>
                <w:rFonts w:ascii="Calibri" w:hAnsi="Calibri" w:cs="Calibri"/>
                <w:b/>
                <w:bCs/>
                <w:sz w:val="20"/>
                <w:szCs w:val="20"/>
              </w:rPr>
              <w:lastRenderedPageBreak/>
              <w:t>Recommendation 8</w:t>
            </w:r>
          </w:p>
          <w:p w14:paraId="7305859A" w14:textId="77777777" w:rsidR="008C77B4" w:rsidRPr="008C77B4" w:rsidRDefault="008C77B4" w:rsidP="00B20EFC">
            <w:pPr>
              <w:widowControl w:val="0"/>
              <w:tabs>
                <w:tab w:val="left" w:pos="360"/>
              </w:tabs>
              <w:rPr>
                <w:rFonts w:ascii="Calibri" w:hAnsi="Calibri" w:cs="Calibri"/>
                <w:bCs/>
                <w:sz w:val="20"/>
                <w:szCs w:val="20"/>
              </w:rPr>
            </w:pPr>
            <w:r w:rsidRPr="008C77B4">
              <w:rPr>
                <w:rFonts w:ascii="Calibri" w:eastAsia="Times New Roman" w:hAnsi="Calibri" w:cs="Calibri"/>
                <w:bCs/>
                <w:sz w:val="20"/>
                <w:szCs w:val="20"/>
              </w:rPr>
              <w:t>That the Program accelerate and amplify their EDI strategy and action.</w:t>
            </w:r>
          </w:p>
          <w:p w14:paraId="35E356B0" w14:textId="77777777" w:rsidR="008C77B4" w:rsidRPr="008C77B4" w:rsidRDefault="008C77B4" w:rsidP="00B20EFC">
            <w:pPr>
              <w:widowControl w:val="0"/>
              <w:tabs>
                <w:tab w:val="left" w:pos="360"/>
              </w:tabs>
              <w:rPr>
                <w:rFonts w:ascii="Calibri" w:hAnsi="Calibri" w:cs="Calibri"/>
                <w:b/>
                <w:bCs/>
                <w:sz w:val="20"/>
                <w:szCs w:val="20"/>
              </w:rPr>
            </w:pPr>
          </w:p>
        </w:tc>
        <w:tc>
          <w:tcPr>
            <w:tcW w:w="3420" w:type="dxa"/>
            <w:shd w:val="clear" w:color="auto" w:fill="FFFFFF" w:themeFill="background1"/>
          </w:tcPr>
          <w:p w14:paraId="6D816D95"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The Program is encouraged to develop an EDI strategy.</w:t>
            </w:r>
          </w:p>
          <w:p w14:paraId="1955F08E" w14:textId="77777777" w:rsidR="008C77B4" w:rsidRPr="008C77B4" w:rsidRDefault="008C77B4" w:rsidP="00B20EFC">
            <w:pPr>
              <w:widowControl w:val="0"/>
              <w:rPr>
                <w:rFonts w:ascii="Calibri" w:eastAsia="Times New Roman" w:hAnsi="Calibri" w:cs="Calibri"/>
                <w:bCs/>
                <w:sz w:val="20"/>
                <w:szCs w:val="20"/>
                <w:lang w:val="en-US"/>
              </w:rPr>
            </w:pPr>
          </w:p>
          <w:p w14:paraId="10FA4225"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The Implementation Report will provide an update on developments in this area.</w:t>
            </w:r>
          </w:p>
          <w:p w14:paraId="6BC82EA6" w14:textId="77777777" w:rsidR="008C77B4" w:rsidRPr="008C77B4" w:rsidRDefault="008C77B4" w:rsidP="00B20EFC">
            <w:pPr>
              <w:widowControl w:val="0"/>
              <w:rPr>
                <w:rFonts w:ascii="Calibri" w:eastAsia="Times New Roman" w:hAnsi="Calibri" w:cs="Calibri"/>
                <w:bCs/>
                <w:sz w:val="20"/>
                <w:szCs w:val="20"/>
                <w:lang w:val="en-US"/>
              </w:rPr>
            </w:pPr>
          </w:p>
        </w:tc>
        <w:tc>
          <w:tcPr>
            <w:tcW w:w="1890" w:type="dxa"/>
            <w:shd w:val="clear" w:color="auto" w:fill="FFFFFF" w:themeFill="background1"/>
          </w:tcPr>
          <w:p w14:paraId="79B292C2" w14:textId="40FC4A95" w:rsidR="008C77B4" w:rsidRPr="008C77B4" w:rsidRDefault="008C77B4" w:rsidP="00B20EFC">
            <w:pPr>
              <w:widowControl w:val="0"/>
              <w:rPr>
                <w:rFonts w:ascii="Calibri" w:eastAsia="Times New Roman" w:hAnsi="Calibri" w:cs="Calibri"/>
                <w:bCs/>
                <w:iCs/>
                <w:sz w:val="20"/>
                <w:szCs w:val="20"/>
                <w:lang w:val="en-US"/>
              </w:rPr>
            </w:pPr>
            <w:r w:rsidRPr="008C77B4">
              <w:rPr>
                <w:rFonts w:ascii="Calibri" w:eastAsia="Times New Roman" w:hAnsi="Calibri" w:cs="Calibri"/>
                <w:bCs/>
                <w:iCs/>
                <w:sz w:val="20"/>
                <w:szCs w:val="20"/>
                <w:lang w:val="en-US"/>
              </w:rPr>
              <w:t>May 1, 2025</w:t>
            </w:r>
            <w:r w:rsidR="00D16C4D">
              <w:rPr>
                <w:rFonts w:ascii="Calibri" w:eastAsia="Times New Roman" w:hAnsi="Calibri" w:cs="Calibri"/>
                <w:bCs/>
                <w:iCs/>
                <w:sz w:val="20"/>
                <w:szCs w:val="20"/>
                <w:lang w:val="en-US"/>
              </w:rPr>
              <w:t>.</w:t>
            </w:r>
          </w:p>
        </w:tc>
        <w:tc>
          <w:tcPr>
            <w:tcW w:w="2880" w:type="dxa"/>
            <w:shd w:val="clear" w:color="auto" w:fill="FFFFFF" w:themeFill="background1"/>
          </w:tcPr>
          <w:p w14:paraId="70344CDE" w14:textId="73F4293B" w:rsidR="008C77B4" w:rsidRDefault="00C51763" w:rsidP="00B20EFC">
            <w:pPr>
              <w:widowControl w:val="0"/>
              <w:rPr>
                <w:rFonts w:ascii="Calibri" w:eastAsia="Times New Roman" w:hAnsi="Calibri" w:cs="Calibri"/>
                <w:bCs/>
                <w:sz w:val="20"/>
                <w:szCs w:val="20"/>
                <w:lang w:val="en-US"/>
              </w:rPr>
            </w:pPr>
            <w:r>
              <w:rPr>
                <w:rFonts w:ascii="Calibri" w:eastAsia="Times New Roman" w:hAnsi="Calibri" w:cs="Calibri"/>
                <w:bCs/>
                <w:sz w:val="20"/>
                <w:szCs w:val="20"/>
                <w:lang w:val="en-US"/>
              </w:rPr>
              <w:t xml:space="preserve">An EDI committee was struck in </w:t>
            </w:r>
            <w:r w:rsidR="00CA5D9E">
              <w:rPr>
                <w:rFonts w:ascii="Calibri" w:eastAsia="Times New Roman" w:hAnsi="Calibri" w:cs="Calibri"/>
                <w:bCs/>
                <w:sz w:val="20"/>
                <w:szCs w:val="20"/>
                <w:lang w:val="en-US"/>
              </w:rPr>
              <w:t>early 2025. We are still in the information gathering stage. A survey has been sent out to alumni to understand their experience of equity, diversity, inclusion</w:t>
            </w:r>
            <w:r w:rsidR="00BD5285">
              <w:rPr>
                <w:rFonts w:ascii="Calibri" w:eastAsia="Times New Roman" w:hAnsi="Calibri" w:cs="Calibri"/>
                <w:bCs/>
                <w:sz w:val="20"/>
                <w:szCs w:val="20"/>
                <w:lang w:val="en-US"/>
              </w:rPr>
              <w:t>,</w:t>
            </w:r>
            <w:r w:rsidR="00CA5D9E">
              <w:rPr>
                <w:rFonts w:ascii="Calibri" w:eastAsia="Times New Roman" w:hAnsi="Calibri" w:cs="Calibri"/>
                <w:bCs/>
                <w:sz w:val="20"/>
                <w:szCs w:val="20"/>
                <w:lang w:val="en-US"/>
              </w:rPr>
              <w:t xml:space="preserve"> and decolonization </w:t>
            </w:r>
            <w:r w:rsidR="00BD5285">
              <w:rPr>
                <w:rFonts w:ascii="Calibri" w:eastAsia="Times New Roman" w:hAnsi="Calibri" w:cs="Calibri"/>
                <w:bCs/>
                <w:sz w:val="20"/>
                <w:szCs w:val="20"/>
                <w:lang w:val="en-US"/>
              </w:rPr>
              <w:t>in</w:t>
            </w:r>
            <w:r w:rsidR="00CA5D9E">
              <w:rPr>
                <w:rFonts w:ascii="Calibri" w:eastAsia="Times New Roman" w:hAnsi="Calibri" w:cs="Calibri"/>
                <w:bCs/>
                <w:sz w:val="20"/>
                <w:szCs w:val="20"/>
                <w:lang w:val="en-US"/>
              </w:rPr>
              <w:t xml:space="preserve"> the program and to solicit their suggestions for change. A similar survey will be sent to current students in May. </w:t>
            </w:r>
            <w:r w:rsidR="00136962">
              <w:rPr>
                <w:rFonts w:ascii="Calibri" w:eastAsia="Times New Roman" w:hAnsi="Calibri" w:cs="Calibri"/>
                <w:bCs/>
                <w:sz w:val="20"/>
                <w:szCs w:val="20"/>
                <w:lang w:val="en-US"/>
              </w:rPr>
              <w:t xml:space="preserve">Once this data has been collected, the committee will develop an appropriate EDI </w:t>
            </w:r>
            <w:r w:rsidR="00BD5285">
              <w:rPr>
                <w:rFonts w:ascii="Calibri" w:eastAsia="Times New Roman" w:hAnsi="Calibri" w:cs="Calibri"/>
                <w:bCs/>
                <w:sz w:val="20"/>
                <w:szCs w:val="20"/>
                <w:lang w:val="en-US"/>
              </w:rPr>
              <w:t xml:space="preserve">strategy </w:t>
            </w:r>
            <w:r w:rsidR="00136962">
              <w:rPr>
                <w:rFonts w:ascii="Calibri" w:eastAsia="Times New Roman" w:hAnsi="Calibri" w:cs="Calibri"/>
                <w:bCs/>
                <w:sz w:val="20"/>
                <w:szCs w:val="20"/>
                <w:lang w:val="en-US"/>
              </w:rPr>
              <w:t xml:space="preserve">that will </w:t>
            </w:r>
            <w:proofErr w:type="gramStart"/>
            <w:r w:rsidR="00BD5285">
              <w:rPr>
                <w:rFonts w:ascii="Calibri" w:eastAsia="Times New Roman" w:hAnsi="Calibri" w:cs="Calibri"/>
                <w:bCs/>
                <w:sz w:val="20"/>
                <w:szCs w:val="20"/>
                <w:lang w:val="en-US"/>
              </w:rPr>
              <w:t>focus</w:t>
            </w:r>
            <w:proofErr w:type="gramEnd"/>
            <w:r w:rsidR="00136962">
              <w:rPr>
                <w:rFonts w:ascii="Calibri" w:eastAsia="Times New Roman" w:hAnsi="Calibri" w:cs="Calibri"/>
                <w:bCs/>
                <w:sz w:val="20"/>
                <w:szCs w:val="20"/>
                <w:lang w:val="en-US"/>
              </w:rPr>
              <w:t xml:space="preserve"> student experience and curricular development. </w:t>
            </w:r>
          </w:p>
          <w:p w14:paraId="52B51170" w14:textId="13EDD315" w:rsidR="00CA5D9E" w:rsidRPr="008C77B4" w:rsidRDefault="00CA5D9E" w:rsidP="00B20EFC">
            <w:pPr>
              <w:widowControl w:val="0"/>
              <w:rPr>
                <w:rFonts w:ascii="Calibri" w:eastAsia="Times New Roman" w:hAnsi="Calibri" w:cs="Calibri"/>
                <w:bCs/>
                <w:sz w:val="20"/>
                <w:szCs w:val="20"/>
                <w:lang w:val="en-US"/>
              </w:rPr>
            </w:pPr>
          </w:p>
        </w:tc>
      </w:tr>
      <w:tr w:rsidR="008C77B4" w:rsidRPr="008C77B4" w14:paraId="155A35EB" w14:textId="77777777" w:rsidTr="00D16C4D">
        <w:tc>
          <w:tcPr>
            <w:tcW w:w="2515" w:type="dxa"/>
            <w:shd w:val="clear" w:color="auto" w:fill="FFFFFF" w:themeFill="background1"/>
          </w:tcPr>
          <w:p w14:paraId="2AC75BC4" w14:textId="77777777" w:rsidR="008C77B4" w:rsidRPr="008C77B4" w:rsidRDefault="008C77B4" w:rsidP="00B20EFC">
            <w:pPr>
              <w:widowControl w:val="0"/>
              <w:tabs>
                <w:tab w:val="left" w:pos="360"/>
              </w:tabs>
              <w:rPr>
                <w:rFonts w:ascii="Calibri" w:hAnsi="Calibri" w:cs="Calibri"/>
                <w:b/>
                <w:bCs/>
                <w:sz w:val="20"/>
                <w:szCs w:val="20"/>
              </w:rPr>
            </w:pPr>
            <w:r w:rsidRPr="008C77B4">
              <w:rPr>
                <w:rFonts w:ascii="Calibri" w:hAnsi="Calibri" w:cs="Calibri"/>
                <w:b/>
                <w:bCs/>
                <w:sz w:val="20"/>
                <w:szCs w:val="20"/>
              </w:rPr>
              <w:t>Recommendation 9</w:t>
            </w:r>
          </w:p>
          <w:p w14:paraId="3D18267A" w14:textId="77777777" w:rsidR="008C77B4" w:rsidRPr="008C77B4" w:rsidRDefault="008C77B4" w:rsidP="00B20EFC">
            <w:pPr>
              <w:pStyle w:val="Default"/>
              <w:widowControl w:val="0"/>
              <w:rPr>
                <w:rFonts w:eastAsia="Times New Roman"/>
                <w:bCs/>
                <w:color w:val="auto"/>
                <w:sz w:val="20"/>
                <w:szCs w:val="20"/>
                <w:lang w:val="en-CA"/>
              </w:rPr>
            </w:pPr>
            <w:r w:rsidRPr="008C77B4">
              <w:rPr>
                <w:rFonts w:eastAsia="Times New Roman"/>
                <w:bCs/>
                <w:color w:val="auto"/>
                <w:sz w:val="20"/>
                <w:szCs w:val="20"/>
                <w:lang w:val="en-CA"/>
              </w:rPr>
              <w:t xml:space="preserve">That the Program add a stream focusing on Indigenous Knowledge and offering it to local and other communities in Northern Ontario. </w:t>
            </w:r>
          </w:p>
          <w:p w14:paraId="6288D99B" w14:textId="77777777" w:rsidR="008C77B4" w:rsidRPr="008C77B4" w:rsidRDefault="008C77B4" w:rsidP="00B20EFC">
            <w:pPr>
              <w:pStyle w:val="Default"/>
              <w:widowControl w:val="0"/>
              <w:rPr>
                <w:b/>
                <w:bCs/>
                <w:sz w:val="20"/>
                <w:szCs w:val="20"/>
              </w:rPr>
            </w:pPr>
          </w:p>
        </w:tc>
        <w:tc>
          <w:tcPr>
            <w:tcW w:w="3420" w:type="dxa"/>
            <w:shd w:val="clear" w:color="auto" w:fill="FFFFFF" w:themeFill="background1"/>
          </w:tcPr>
          <w:p w14:paraId="3710ED7F"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 xml:space="preserve">The program should explore adding an IK stream in direct consultation with the Chanie Wenjack School. </w:t>
            </w:r>
          </w:p>
          <w:p w14:paraId="1F73E0FA" w14:textId="77777777" w:rsidR="008C77B4" w:rsidRPr="008C77B4" w:rsidRDefault="008C77B4" w:rsidP="00B20EFC">
            <w:pPr>
              <w:widowControl w:val="0"/>
              <w:rPr>
                <w:rFonts w:ascii="Calibri" w:eastAsia="Times New Roman" w:hAnsi="Calibri" w:cs="Calibri"/>
                <w:bCs/>
                <w:sz w:val="20"/>
                <w:szCs w:val="20"/>
                <w:lang w:val="en-US"/>
              </w:rPr>
            </w:pPr>
          </w:p>
          <w:p w14:paraId="3B8AA75E"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The Implementation Report will provide an update.</w:t>
            </w:r>
          </w:p>
          <w:p w14:paraId="5143A51A" w14:textId="77777777" w:rsidR="008C77B4" w:rsidRPr="008C77B4" w:rsidRDefault="008C77B4" w:rsidP="00B20EFC">
            <w:pPr>
              <w:widowControl w:val="0"/>
              <w:rPr>
                <w:rFonts w:ascii="Calibri" w:eastAsia="Times New Roman" w:hAnsi="Calibri" w:cs="Calibri"/>
                <w:bCs/>
                <w:sz w:val="20"/>
                <w:szCs w:val="20"/>
                <w:lang w:val="en-US"/>
              </w:rPr>
            </w:pPr>
          </w:p>
        </w:tc>
        <w:tc>
          <w:tcPr>
            <w:tcW w:w="1890" w:type="dxa"/>
            <w:shd w:val="clear" w:color="auto" w:fill="FFFFFF" w:themeFill="background1"/>
          </w:tcPr>
          <w:p w14:paraId="2B21BC20" w14:textId="29C60D59" w:rsidR="008C77B4" w:rsidRPr="008C77B4" w:rsidRDefault="008C77B4" w:rsidP="00B20EFC">
            <w:pPr>
              <w:widowControl w:val="0"/>
              <w:rPr>
                <w:rFonts w:ascii="Calibri" w:eastAsia="Times New Roman" w:hAnsi="Calibri" w:cs="Calibri"/>
                <w:bCs/>
                <w:iCs/>
                <w:sz w:val="20"/>
                <w:szCs w:val="20"/>
                <w:lang w:val="en-US"/>
              </w:rPr>
            </w:pPr>
            <w:r w:rsidRPr="008C77B4">
              <w:rPr>
                <w:rFonts w:ascii="Calibri" w:eastAsia="Times New Roman" w:hAnsi="Calibri" w:cs="Calibri"/>
                <w:bCs/>
                <w:iCs/>
                <w:sz w:val="20"/>
                <w:szCs w:val="20"/>
                <w:lang w:val="en-US"/>
              </w:rPr>
              <w:t>May 1, 2025</w:t>
            </w:r>
            <w:r w:rsidR="00D16C4D">
              <w:rPr>
                <w:rFonts w:ascii="Calibri" w:eastAsia="Times New Roman" w:hAnsi="Calibri" w:cs="Calibri"/>
                <w:bCs/>
                <w:iCs/>
                <w:sz w:val="20"/>
                <w:szCs w:val="20"/>
                <w:lang w:val="en-US"/>
              </w:rPr>
              <w:t>.</w:t>
            </w:r>
          </w:p>
        </w:tc>
        <w:tc>
          <w:tcPr>
            <w:tcW w:w="2880" w:type="dxa"/>
            <w:shd w:val="clear" w:color="auto" w:fill="FFFFFF" w:themeFill="background1"/>
          </w:tcPr>
          <w:p w14:paraId="483ADDC2" w14:textId="306B26BC" w:rsidR="008C77B4" w:rsidRPr="008C77B4" w:rsidRDefault="00CA5D9E" w:rsidP="00B20EFC">
            <w:pPr>
              <w:widowControl w:val="0"/>
              <w:rPr>
                <w:rFonts w:ascii="Calibri" w:eastAsia="Times New Roman" w:hAnsi="Calibri" w:cs="Calibri"/>
                <w:bCs/>
                <w:sz w:val="20"/>
                <w:szCs w:val="20"/>
                <w:lang w:val="en-US"/>
              </w:rPr>
            </w:pPr>
            <w:r>
              <w:rPr>
                <w:rFonts w:ascii="Calibri" w:eastAsia="Times New Roman" w:hAnsi="Calibri" w:cs="Calibri"/>
                <w:bCs/>
                <w:sz w:val="20"/>
                <w:szCs w:val="20"/>
                <w:lang w:val="en-US"/>
              </w:rPr>
              <w:t xml:space="preserve">The previous director of the Program initiated a conversation with the Chanie Wenjack School about adding an IK stream. The proposal for this stream is currently being drafted. </w:t>
            </w:r>
          </w:p>
        </w:tc>
      </w:tr>
      <w:tr w:rsidR="008C77B4" w:rsidRPr="008C77B4" w14:paraId="30B1597F" w14:textId="77777777" w:rsidTr="00D16C4D">
        <w:tc>
          <w:tcPr>
            <w:tcW w:w="2515" w:type="dxa"/>
            <w:shd w:val="clear" w:color="auto" w:fill="FFFFFF" w:themeFill="background1"/>
          </w:tcPr>
          <w:p w14:paraId="40D33510" w14:textId="77777777" w:rsidR="008C77B4" w:rsidRPr="008C77B4" w:rsidRDefault="008C77B4" w:rsidP="00B20EFC">
            <w:pPr>
              <w:widowControl w:val="0"/>
              <w:tabs>
                <w:tab w:val="left" w:pos="360"/>
              </w:tabs>
              <w:rPr>
                <w:rFonts w:ascii="Calibri" w:hAnsi="Calibri" w:cs="Calibri"/>
                <w:b/>
                <w:bCs/>
                <w:sz w:val="20"/>
                <w:szCs w:val="20"/>
              </w:rPr>
            </w:pPr>
            <w:r w:rsidRPr="008C77B4">
              <w:rPr>
                <w:rFonts w:ascii="Calibri" w:hAnsi="Calibri" w:cs="Calibri"/>
                <w:b/>
                <w:bCs/>
                <w:sz w:val="20"/>
                <w:szCs w:val="20"/>
              </w:rPr>
              <w:t>Recommendation 10</w:t>
            </w:r>
          </w:p>
          <w:p w14:paraId="01A7859A" w14:textId="77777777" w:rsidR="008C77B4" w:rsidRPr="008C77B4" w:rsidRDefault="008C77B4" w:rsidP="00B20EFC">
            <w:pPr>
              <w:widowControl w:val="0"/>
              <w:tabs>
                <w:tab w:val="left" w:pos="360"/>
              </w:tabs>
              <w:rPr>
                <w:rFonts w:ascii="Calibri" w:hAnsi="Calibri" w:cs="Calibri"/>
                <w:sz w:val="20"/>
                <w:szCs w:val="20"/>
              </w:rPr>
            </w:pPr>
            <w:r w:rsidRPr="008C77B4">
              <w:rPr>
                <w:rFonts w:ascii="Calibri" w:hAnsi="Calibri" w:cs="Calibri"/>
                <w:sz w:val="20"/>
                <w:szCs w:val="20"/>
              </w:rPr>
              <w:t>That the Program continue to develop the potential graduate diploma with other graduate programs to strengthen environmental and sustainability at Trent.</w:t>
            </w:r>
          </w:p>
          <w:p w14:paraId="12BD0FCF" w14:textId="77777777" w:rsidR="008C77B4" w:rsidRPr="008C77B4" w:rsidRDefault="008C77B4" w:rsidP="00B20EFC">
            <w:pPr>
              <w:widowControl w:val="0"/>
              <w:tabs>
                <w:tab w:val="left" w:pos="360"/>
              </w:tabs>
              <w:rPr>
                <w:rFonts w:ascii="Calibri" w:hAnsi="Calibri" w:cs="Calibri"/>
                <w:b/>
                <w:bCs/>
                <w:sz w:val="20"/>
                <w:szCs w:val="20"/>
              </w:rPr>
            </w:pPr>
          </w:p>
        </w:tc>
        <w:tc>
          <w:tcPr>
            <w:tcW w:w="3420" w:type="dxa"/>
            <w:shd w:val="clear" w:color="auto" w:fill="FFFFFF" w:themeFill="background1"/>
          </w:tcPr>
          <w:p w14:paraId="7A1427C7"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No follow-up report is required.</w:t>
            </w:r>
          </w:p>
          <w:p w14:paraId="7246EFBE" w14:textId="77777777" w:rsidR="008C77B4" w:rsidRPr="008C77B4" w:rsidRDefault="008C77B4" w:rsidP="00B20EFC">
            <w:pPr>
              <w:widowControl w:val="0"/>
              <w:rPr>
                <w:rFonts w:ascii="Calibri" w:eastAsia="Times New Roman" w:hAnsi="Calibri" w:cs="Calibri"/>
                <w:bCs/>
                <w:sz w:val="20"/>
                <w:szCs w:val="20"/>
                <w:lang w:val="en-US"/>
              </w:rPr>
            </w:pPr>
          </w:p>
          <w:p w14:paraId="26684A94"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This development of a graduate diploma falls outside the scope of this review.</w:t>
            </w:r>
          </w:p>
          <w:p w14:paraId="0A01E1AA" w14:textId="77777777" w:rsidR="008C77B4" w:rsidRPr="008C77B4" w:rsidRDefault="008C77B4" w:rsidP="00B20EFC">
            <w:pPr>
              <w:widowControl w:val="0"/>
              <w:rPr>
                <w:rFonts w:ascii="Calibri" w:eastAsia="Times New Roman" w:hAnsi="Calibri" w:cs="Calibri"/>
                <w:bCs/>
                <w:sz w:val="20"/>
                <w:szCs w:val="20"/>
                <w:lang w:val="en-US"/>
              </w:rPr>
            </w:pPr>
          </w:p>
          <w:p w14:paraId="053AFEB1" w14:textId="77777777" w:rsidR="008C77B4" w:rsidRPr="008C77B4" w:rsidRDefault="008C77B4" w:rsidP="00B20EFC">
            <w:pPr>
              <w:widowControl w:val="0"/>
              <w:rPr>
                <w:rFonts w:ascii="Calibri" w:eastAsia="Times New Roman" w:hAnsi="Calibri" w:cs="Calibri"/>
                <w:bCs/>
                <w:sz w:val="20"/>
                <w:szCs w:val="20"/>
                <w:lang w:val="en-US"/>
              </w:rPr>
            </w:pPr>
          </w:p>
          <w:p w14:paraId="43498E2A" w14:textId="77777777" w:rsidR="008C77B4" w:rsidRPr="008C77B4" w:rsidRDefault="008C77B4" w:rsidP="00B20EFC">
            <w:pPr>
              <w:widowControl w:val="0"/>
              <w:rPr>
                <w:rFonts w:ascii="Calibri" w:eastAsia="Times New Roman" w:hAnsi="Calibri" w:cs="Calibri"/>
                <w:bCs/>
                <w:sz w:val="20"/>
                <w:szCs w:val="20"/>
                <w:lang w:val="en-US"/>
              </w:rPr>
            </w:pPr>
          </w:p>
        </w:tc>
        <w:tc>
          <w:tcPr>
            <w:tcW w:w="1890" w:type="dxa"/>
            <w:shd w:val="clear" w:color="auto" w:fill="D9D9D9" w:themeFill="background1" w:themeFillShade="D9"/>
          </w:tcPr>
          <w:p w14:paraId="77DFAE22" w14:textId="77777777" w:rsidR="008C77B4" w:rsidRPr="008C77B4" w:rsidRDefault="008C77B4" w:rsidP="00B20EFC">
            <w:pPr>
              <w:widowControl w:val="0"/>
              <w:rPr>
                <w:rFonts w:ascii="Calibri" w:eastAsia="Times New Roman" w:hAnsi="Calibri" w:cs="Calibri"/>
                <w:bCs/>
                <w:iCs/>
                <w:sz w:val="20"/>
                <w:szCs w:val="20"/>
                <w:lang w:val="en-US"/>
              </w:rPr>
            </w:pPr>
          </w:p>
        </w:tc>
        <w:tc>
          <w:tcPr>
            <w:tcW w:w="2880" w:type="dxa"/>
            <w:shd w:val="clear" w:color="auto" w:fill="D9D9D9" w:themeFill="background1" w:themeFillShade="D9"/>
          </w:tcPr>
          <w:p w14:paraId="5B283620" w14:textId="61D76F49" w:rsidR="008C77B4" w:rsidRPr="008C77B4" w:rsidRDefault="008C77B4" w:rsidP="00B20EFC">
            <w:pPr>
              <w:widowControl w:val="0"/>
              <w:rPr>
                <w:rFonts w:ascii="Calibri" w:eastAsia="Times New Roman" w:hAnsi="Calibri" w:cs="Calibri"/>
                <w:bCs/>
                <w:sz w:val="20"/>
                <w:szCs w:val="20"/>
                <w:lang w:val="en-US"/>
              </w:rPr>
            </w:pPr>
          </w:p>
        </w:tc>
      </w:tr>
      <w:tr w:rsidR="008C77B4" w:rsidRPr="008C77B4" w14:paraId="3D022374" w14:textId="77777777" w:rsidTr="00D16C4D">
        <w:tc>
          <w:tcPr>
            <w:tcW w:w="2515" w:type="dxa"/>
            <w:shd w:val="clear" w:color="auto" w:fill="FFFFFF" w:themeFill="background1"/>
          </w:tcPr>
          <w:p w14:paraId="1EC317E2" w14:textId="77777777" w:rsidR="008C77B4" w:rsidRPr="008C77B4" w:rsidRDefault="008C77B4" w:rsidP="00B20EFC">
            <w:pPr>
              <w:widowControl w:val="0"/>
              <w:tabs>
                <w:tab w:val="left" w:pos="360"/>
              </w:tabs>
              <w:rPr>
                <w:rFonts w:ascii="Calibri" w:hAnsi="Calibri" w:cs="Calibri"/>
                <w:b/>
                <w:bCs/>
                <w:sz w:val="20"/>
                <w:szCs w:val="20"/>
              </w:rPr>
            </w:pPr>
            <w:r w:rsidRPr="008C77B4">
              <w:rPr>
                <w:rFonts w:ascii="Calibri" w:hAnsi="Calibri" w:cs="Calibri"/>
                <w:b/>
                <w:bCs/>
                <w:sz w:val="20"/>
                <w:szCs w:val="20"/>
              </w:rPr>
              <w:t>Recommendation 11</w:t>
            </w:r>
          </w:p>
          <w:p w14:paraId="3D77FC2A" w14:textId="77777777" w:rsidR="008C77B4" w:rsidRPr="008C77B4" w:rsidRDefault="008C77B4" w:rsidP="00B20EFC">
            <w:pPr>
              <w:widowControl w:val="0"/>
              <w:tabs>
                <w:tab w:val="left" w:pos="360"/>
              </w:tabs>
              <w:rPr>
                <w:rFonts w:ascii="Calibri" w:eastAsia="Times New Roman" w:hAnsi="Calibri" w:cs="Calibri"/>
                <w:bCs/>
                <w:sz w:val="20"/>
                <w:szCs w:val="20"/>
              </w:rPr>
            </w:pPr>
            <w:r w:rsidRPr="008C77B4">
              <w:rPr>
                <w:rFonts w:ascii="Calibri" w:eastAsia="Times New Roman" w:hAnsi="Calibri" w:cs="Calibri"/>
                <w:bCs/>
                <w:sz w:val="20"/>
                <w:szCs w:val="20"/>
              </w:rPr>
              <w:t>That the Dean and Program review the efficacy and effectiveness of the supporting resources and services (e.g., surveys).</w:t>
            </w:r>
          </w:p>
          <w:p w14:paraId="3F11A08A" w14:textId="77777777" w:rsidR="008C77B4" w:rsidRPr="008C77B4" w:rsidRDefault="008C77B4" w:rsidP="00B20EFC">
            <w:pPr>
              <w:widowControl w:val="0"/>
              <w:tabs>
                <w:tab w:val="left" w:pos="360"/>
              </w:tabs>
              <w:rPr>
                <w:rFonts w:ascii="Calibri" w:hAnsi="Calibri" w:cs="Calibri"/>
                <w:b/>
                <w:bCs/>
                <w:sz w:val="20"/>
                <w:szCs w:val="20"/>
              </w:rPr>
            </w:pPr>
          </w:p>
        </w:tc>
        <w:tc>
          <w:tcPr>
            <w:tcW w:w="3420" w:type="dxa"/>
            <w:shd w:val="clear" w:color="auto" w:fill="FFFFFF" w:themeFill="background1"/>
          </w:tcPr>
          <w:p w14:paraId="22489A56"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Graduate Studies is rolling out a Graduate Student Survey this fall. The program can also look at a program-specific survey.</w:t>
            </w:r>
          </w:p>
          <w:p w14:paraId="5655A4AA" w14:textId="77777777" w:rsidR="008C77B4" w:rsidRPr="008C77B4" w:rsidRDefault="008C77B4" w:rsidP="00B20EFC">
            <w:pPr>
              <w:widowControl w:val="0"/>
              <w:rPr>
                <w:rFonts w:ascii="Calibri" w:eastAsia="Times New Roman" w:hAnsi="Calibri" w:cs="Calibri"/>
                <w:bCs/>
                <w:sz w:val="20"/>
                <w:szCs w:val="20"/>
                <w:lang w:val="en-US"/>
              </w:rPr>
            </w:pPr>
          </w:p>
          <w:p w14:paraId="2E9AFC47"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The Implementation Report should provide an update on any changes to resources or services within the Program.</w:t>
            </w:r>
          </w:p>
          <w:p w14:paraId="0ACD0690" w14:textId="77777777" w:rsidR="008C77B4" w:rsidRPr="008C77B4" w:rsidRDefault="008C77B4" w:rsidP="00B20EFC">
            <w:pPr>
              <w:widowControl w:val="0"/>
              <w:rPr>
                <w:rFonts w:ascii="Calibri" w:eastAsia="Times New Roman" w:hAnsi="Calibri" w:cs="Calibri"/>
                <w:bCs/>
                <w:sz w:val="20"/>
                <w:szCs w:val="20"/>
                <w:lang w:val="en-US"/>
              </w:rPr>
            </w:pPr>
          </w:p>
        </w:tc>
        <w:tc>
          <w:tcPr>
            <w:tcW w:w="1890" w:type="dxa"/>
            <w:shd w:val="clear" w:color="auto" w:fill="FFFFFF" w:themeFill="background1"/>
          </w:tcPr>
          <w:p w14:paraId="768182D3" w14:textId="2DFAD34B" w:rsidR="008C77B4" w:rsidRPr="008C77B4" w:rsidRDefault="008C77B4" w:rsidP="00B20EFC">
            <w:pPr>
              <w:widowControl w:val="0"/>
              <w:rPr>
                <w:rFonts w:ascii="Calibri" w:eastAsia="Times New Roman" w:hAnsi="Calibri" w:cs="Calibri"/>
                <w:bCs/>
                <w:iCs/>
                <w:sz w:val="20"/>
                <w:szCs w:val="20"/>
                <w:lang w:val="en-US"/>
              </w:rPr>
            </w:pPr>
            <w:r w:rsidRPr="008C77B4">
              <w:rPr>
                <w:rFonts w:ascii="Calibri" w:eastAsia="Times New Roman" w:hAnsi="Calibri" w:cs="Calibri"/>
                <w:bCs/>
                <w:iCs/>
                <w:sz w:val="20"/>
                <w:szCs w:val="20"/>
                <w:lang w:val="en-US"/>
              </w:rPr>
              <w:t>May 1, 2025</w:t>
            </w:r>
            <w:r w:rsidR="00D16C4D">
              <w:rPr>
                <w:rFonts w:ascii="Calibri" w:eastAsia="Times New Roman" w:hAnsi="Calibri" w:cs="Calibri"/>
                <w:bCs/>
                <w:iCs/>
                <w:sz w:val="20"/>
                <w:szCs w:val="20"/>
                <w:lang w:val="en-US"/>
              </w:rPr>
              <w:t>.</w:t>
            </w:r>
          </w:p>
        </w:tc>
        <w:tc>
          <w:tcPr>
            <w:tcW w:w="2880" w:type="dxa"/>
            <w:shd w:val="clear" w:color="auto" w:fill="FFFFFF" w:themeFill="background1"/>
          </w:tcPr>
          <w:p w14:paraId="6184C18D" w14:textId="172EA3B2" w:rsidR="008C77B4" w:rsidRPr="008C77B4" w:rsidRDefault="00CA5D9E" w:rsidP="00B20EFC">
            <w:pPr>
              <w:widowControl w:val="0"/>
              <w:rPr>
                <w:rFonts w:ascii="Calibri" w:eastAsia="Times New Roman" w:hAnsi="Calibri" w:cs="Calibri"/>
                <w:bCs/>
                <w:sz w:val="20"/>
                <w:szCs w:val="20"/>
                <w:lang w:val="en-US"/>
              </w:rPr>
            </w:pPr>
            <w:r>
              <w:rPr>
                <w:rFonts w:ascii="Calibri" w:eastAsia="Times New Roman" w:hAnsi="Calibri" w:cs="Calibri"/>
                <w:bCs/>
                <w:sz w:val="20"/>
                <w:szCs w:val="20"/>
                <w:lang w:val="en-US"/>
              </w:rPr>
              <w:t xml:space="preserve">The Program will look to the Graduate Student Survey this fall to determine whether a program-specific survey is required. </w:t>
            </w:r>
          </w:p>
        </w:tc>
      </w:tr>
      <w:tr w:rsidR="008C77B4" w:rsidRPr="008C77B4" w14:paraId="5F533255" w14:textId="77777777" w:rsidTr="00D16C4D">
        <w:tc>
          <w:tcPr>
            <w:tcW w:w="2515" w:type="dxa"/>
            <w:shd w:val="clear" w:color="auto" w:fill="FFFFFF" w:themeFill="background1"/>
          </w:tcPr>
          <w:p w14:paraId="1616DBD4" w14:textId="77777777" w:rsidR="008C77B4" w:rsidRPr="008C77B4" w:rsidRDefault="008C77B4" w:rsidP="00B20EFC">
            <w:pPr>
              <w:widowControl w:val="0"/>
              <w:tabs>
                <w:tab w:val="left" w:pos="360"/>
              </w:tabs>
              <w:rPr>
                <w:rFonts w:ascii="Calibri" w:hAnsi="Calibri" w:cs="Calibri"/>
                <w:b/>
                <w:bCs/>
                <w:sz w:val="20"/>
                <w:szCs w:val="20"/>
              </w:rPr>
            </w:pPr>
            <w:r w:rsidRPr="008C77B4">
              <w:rPr>
                <w:rFonts w:ascii="Calibri" w:hAnsi="Calibri" w:cs="Calibri"/>
                <w:b/>
                <w:bCs/>
                <w:sz w:val="20"/>
                <w:szCs w:val="20"/>
              </w:rPr>
              <w:t>Recommendation 12</w:t>
            </w:r>
          </w:p>
          <w:p w14:paraId="05FC20D2" w14:textId="77777777" w:rsidR="008C77B4" w:rsidRPr="008C77B4" w:rsidRDefault="008C77B4" w:rsidP="00B20EFC">
            <w:pPr>
              <w:pStyle w:val="Default"/>
              <w:widowControl w:val="0"/>
              <w:rPr>
                <w:rFonts w:eastAsia="Times New Roman"/>
                <w:bCs/>
                <w:color w:val="auto"/>
                <w:sz w:val="20"/>
                <w:szCs w:val="20"/>
                <w:lang w:val="en-CA"/>
              </w:rPr>
            </w:pPr>
            <w:r w:rsidRPr="008C77B4">
              <w:rPr>
                <w:rFonts w:eastAsia="Times New Roman"/>
                <w:bCs/>
                <w:color w:val="auto"/>
                <w:sz w:val="20"/>
                <w:szCs w:val="20"/>
                <w:lang w:val="en-CA"/>
              </w:rPr>
              <w:t>That the Dean and Program consider formalizing a strategy for Alumni and External Relations to deepen engagement.</w:t>
            </w:r>
          </w:p>
          <w:p w14:paraId="3483D2BC" w14:textId="77777777" w:rsidR="008C77B4" w:rsidRPr="008C77B4" w:rsidRDefault="008C77B4" w:rsidP="00B20EFC">
            <w:pPr>
              <w:widowControl w:val="0"/>
              <w:tabs>
                <w:tab w:val="left" w:pos="360"/>
              </w:tabs>
              <w:rPr>
                <w:rFonts w:ascii="Calibri" w:hAnsi="Calibri" w:cs="Calibri"/>
                <w:b/>
                <w:bCs/>
                <w:sz w:val="20"/>
                <w:szCs w:val="20"/>
              </w:rPr>
            </w:pPr>
          </w:p>
        </w:tc>
        <w:tc>
          <w:tcPr>
            <w:tcW w:w="3420" w:type="dxa"/>
            <w:shd w:val="clear" w:color="auto" w:fill="FFFFFF" w:themeFill="background1"/>
          </w:tcPr>
          <w:p w14:paraId="403843D9"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No follow up required.</w:t>
            </w:r>
          </w:p>
          <w:p w14:paraId="498FB599" w14:textId="77777777" w:rsidR="008C77B4" w:rsidRPr="008C77B4" w:rsidRDefault="008C77B4" w:rsidP="00B20EFC">
            <w:pPr>
              <w:widowControl w:val="0"/>
              <w:rPr>
                <w:rFonts w:ascii="Calibri" w:eastAsia="Times New Roman" w:hAnsi="Calibri" w:cs="Calibri"/>
                <w:bCs/>
                <w:sz w:val="20"/>
                <w:szCs w:val="20"/>
                <w:lang w:val="en-US"/>
              </w:rPr>
            </w:pPr>
          </w:p>
          <w:p w14:paraId="2936794A" w14:textId="77777777" w:rsidR="008C77B4" w:rsidRPr="008C77B4" w:rsidRDefault="008C77B4" w:rsidP="00B20EFC">
            <w:pPr>
              <w:widowControl w:val="0"/>
              <w:rPr>
                <w:rFonts w:ascii="Calibri" w:eastAsia="Times New Roman" w:hAnsi="Calibri" w:cs="Calibri"/>
                <w:bCs/>
                <w:sz w:val="20"/>
                <w:szCs w:val="20"/>
                <w:lang w:val="en-US"/>
              </w:rPr>
            </w:pPr>
            <w:r w:rsidRPr="008C77B4">
              <w:rPr>
                <w:rFonts w:ascii="Calibri" w:eastAsia="Times New Roman" w:hAnsi="Calibri" w:cs="Calibri"/>
                <w:bCs/>
                <w:sz w:val="20"/>
                <w:szCs w:val="20"/>
                <w:lang w:val="en-US"/>
              </w:rPr>
              <w:t xml:space="preserve">Although this does not directly reflect the quality of the Program, developing external relationships can only benefit the Program; one specific benefit being the creation of potential for student placements. </w:t>
            </w:r>
          </w:p>
          <w:p w14:paraId="29D7C308" w14:textId="77777777" w:rsidR="008C77B4" w:rsidRPr="008C77B4" w:rsidRDefault="008C77B4" w:rsidP="00B20EFC">
            <w:pPr>
              <w:widowControl w:val="0"/>
              <w:rPr>
                <w:rFonts w:ascii="Calibri" w:eastAsia="Times New Roman" w:hAnsi="Calibri" w:cs="Calibri"/>
                <w:bCs/>
                <w:sz w:val="20"/>
                <w:szCs w:val="20"/>
                <w:lang w:val="en-US"/>
              </w:rPr>
            </w:pPr>
          </w:p>
        </w:tc>
        <w:tc>
          <w:tcPr>
            <w:tcW w:w="1890" w:type="dxa"/>
            <w:shd w:val="clear" w:color="auto" w:fill="D9D9D9" w:themeFill="background1" w:themeFillShade="D9"/>
          </w:tcPr>
          <w:p w14:paraId="5561D7C1" w14:textId="77777777" w:rsidR="008C77B4" w:rsidRPr="008C77B4" w:rsidRDefault="008C77B4" w:rsidP="00B20EFC">
            <w:pPr>
              <w:widowControl w:val="0"/>
              <w:rPr>
                <w:rFonts w:ascii="Calibri" w:eastAsia="Times New Roman" w:hAnsi="Calibri" w:cs="Calibri"/>
                <w:bCs/>
                <w:iCs/>
                <w:sz w:val="20"/>
                <w:szCs w:val="20"/>
                <w:lang w:val="en-US"/>
              </w:rPr>
            </w:pPr>
            <w:r w:rsidRPr="008C77B4">
              <w:rPr>
                <w:rFonts w:ascii="Calibri" w:eastAsia="Times New Roman" w:hAnsi="Calibri" w:cs="Calibri"/>
                <w:bCs/>
                <w:iCs/>
                <w:sz w:val="20"/>
                <w:szCs w:val="20"/>
                <w:lang w:val="en-US"/>
              </w:rPr>
              <w:t xml:space="preserve"> </w:t>
            </w:r>
          </w:p>
        </w:tc>
        <w:tc>
          <w:tcPr>
            <w:tcW w:w="2880" w:type="dxa"/>
            <w:shd w:val="clear" w:color="auto" w:fill="D9D9D9" w:themeFill="background1" w:themeFillShade="D9"/>
          </w:tcPr>
          <w:p w14:paraId="259EFCC1" w14:textId="2B3E8D2C" w:rsidR="008C77B4" w:rsidRPr="008C77B4" w:rsidRDefault="008C77B4" w:rsidP="00B20EFC">
            <w:pPr>
              <w:widowControl w:val="0"/>
              <w:rPr>
                <w:rFonts w:ascii="Calibri" w:eastAsia="Times New Roman" w:hAnsi="Calibri" w:cs="Calibri"/>
                <w:bCs/>
                <w:sz w:val="20"/>
                <w:szCs w:val="20"/>
                <w:lang w:val="en-US"/>
              </w:rPr>
            </w:pPr>
          </w:p>
        </w:tc>
      </w:tr>
    </w:tbl>
    <w:p w14:paraId="15BEC5E4" w14:textId="77777777" w:rsidR="008C77B4" w:rsidRPr="008C77B4" w:rsidRDefault="008C77B4" w:rsidP="008C77B4">
      <w:pPr>
        <w:widowControl w:val="0"/>
        <w:tabs>
          <w:tab w:val="left" w:pos="567"/>
        </w:tabs>
        <w:rPr>
          <w:rFonts w:ascii="Calibri" w:eastAsia="Times New Roman" w:hAnsi="Calibri" w:cs="Calibri"/>
          <w:b/>
          <w:sz w:val="24"/>
          <w:szCs w:val="24"/>
          <w:highlight w:val="yellow"/>
          <w:lang w:val="en-US"/>
        </w:rPr>
      </w:pPr>
    </w:p>
    <w:p w14:paraId="72F2ACB9" w14:textId="77777777" w:rsidR="006B7D49" w:rsidRPr="008C77B4" w:rsidRDefault="006B7D49" w:rsidP="008C77B4">
      <w:pPr>
        <w:tabs>
          <w:tab w:val="left" w:pos="10530"/>
        </w:tabs>
        <w:rPr>
          <w:rFonts w:ascii="Calibri" w:hAnsi="Calibri" w:cs="Calibri"/>
        </w:rPr>
      </w:pPr>
    </w:p>
    <w:sectPr w:rsidR="006B7D49" w:rsidRPr="008C77B4" w:rsidSect="008C77B4">
      <w:pgSz w:w="12240" w:h="15840"/>
      <w:pgMar w:top="720" w:right="63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B4"/>
    <w:rsid w:val="00064525"/>
    <w:rsid w:val="00113FE0"/>
    <w:rsid w:val="00136962"/>
    <w:rsid w:val="001613DB"/>
    <w:rsid w:val="001D09C3"/>
    <w:rsid w:val="00285509"/>
    <w:rsid w:val="002A7B44"/>
    <w:rsid w:val="002C018C"/>
    <w:rsid w:val="00404368"/>
    <w:rsid w:val="004549C6"/>
    <w:rsid w:val="00470E47"/>
    <w:rsid w:val="00552C70"/>
    <w:rsid w:val="005E5BF5"/>
    <w:rsid w:val="006B7D49"/>
    <w:rsid w:val="007E6970"/>
    <w:rsid w:val="008C59F6"/>
    <w:rsid w:val="008C77B4"/>
    <w:rsid w:val="00927E78"/>
    <w:rsid w:val="00952F55"/>
    <w:rsid w:val="00A40433"/>
    <w:rsid w:val="00AE4045"/>
    <w:rsid w:val="00BD5285"/>
    <w:rsid w:val="00C51763"/>
    <w:rsid w:val="00CA5D9E"/>
    <w:rsid w:val="00CC0374"/>
    <w:rsid w:val="00CD720F"/>
    <w:rsid w:val="00D16C4D"/>
    <w:rsid w:val="00E0323D"/>
    <w:rsid w:val="00F016E1"/>
    <w:rsid w:val="00FB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DC8E"/>
  <w15:chartTrackingRefBased/>
  <w15:docId w15:val="{203844EC-3F40-42DA-8E94-D518015C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7B4"/>
    <w:pPr>
      <w:spacing w:after="0" w:line="240" w:lineRule="auto"/>
    </w:pPr>
    <w:rPr>
      <w:kern w:val="0"/>
      <w:lang w:val="en-CA"/>
      <w14:ligatures w14:val="none"/>
    </w:rPr>
  </w:style>
  <w:style w:type="paragraph" w:styleId="Heading1">
    <w:name w:val="heading 1"/>
    <w:basedOn w:val="Normal"/>
    <w:next w:val="Normal"/>
    <w:link w:val="Heading1Char"/>
    <w:uiPriority w:val="9"/>
    <w:qFormat/>
    <w:rsid w:val="008C77B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C77B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C77B4"/>
    <w:pPr>
      <w:keepNext/>
      <w:keepLines/>
      <w:spacing w:before="160" w:after="80" w:line="259"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C77B4"/>
    <w:pPr>
      <w:keepNext/>
      <w:keepLines/>
      <w:spacing w:before="80" w:after="40" w:line="259"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8C77B4"/>
    <w:pPr>
      <w:keepNext/>
      <w:keepLines/>
      <w:spacing w:before="80" w:after="40" w:line="259"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8C77B4"/>
    <w:pPr>
      <w:keepNext/>
      <w:keepLines/>
      <w:spacing w:before="40" w:line="259"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8C77B4"/>
    <w:pPr>
      <w:keepNext/>
      <w:keepLines/>
      <w:spacing w:before="40" w:line="259"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8C77B4"/>
    <w:pPr>
      <w:keepNext/>
      <w:keepLines/>
      <w:spacing w:line="259"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8C77B4"/>
    <w:pPr>
      <w:keepNext/>
      <w:keepLines/>
      <w:spacing w:line="259"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7B4"/>
    <w:rPr>
      <w:rFonts w:eastAsiaTheme="majorEastAsia" w:cstheme="majorBidi"/>
      <w:color w:val="272727" w:themeColor="text1" w:themeTint="D8"/>
    </w:rPr>
  </w:style>
  <w:style w:type="paragraph" w:styleId="Title">
    <w:name w:val="Title"/>
    <w:basedOn w:val="Normal"/>
    <w:next w:val="Normal"/>
    <w:link w:val="TitleChar"/>
    <w:uiPriority w:val="10"/>
    <w:qFormat/>
    <w:rsid w:val="008C77B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C7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7B4"/>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C7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7B4"/>
    <w:pPr>
      <w:spacing w:before="160" w:after="160" w:line="259"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8C77B4"/>
    <w:rPr>
      <w:i/>
      <w:iCs/>
      <w:color w:val="404040" w:themeColor="text1" w:themeTint="BF"/>
    </w:rPr>
  </w:style>
  <w:style w:type="paragraph" w:styleId="ListParagraph">
    <w:name w:val="List Paragraph"/>
    <w:basedOn w:val="Normal"/>
    <w:uiPriority w:val="34"/>
    <w:qFormat/>
    <w:rsid w:val="008C77B4"/>
    <w:pPr>
      <w:spacing w:after="160" w:line="259"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8C77B4"/>
    <w:rPr>
      <w:i/>
      <w:iCs/>
      <w:color w:val="0F4761" w:themeColor="accent1" w:themeShade="BF"/>
    </w:rPr>
  </w:style>
  <w:style w:type="paragraph" w:styleId="IntenseQuote">
    <w:name w:val="Intense Quote"/>
    <w:basedOn w:val="Normal"/>
    <w:next w:val="Normal"/>
    <w:link w:val="IntenseQuoteChar"/>
    <w:uiPriority w:val="30"/>
    <w:qFormat/>
    <w:rsid w:val="008C77B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8C77B4"/>
    <w:rPr>
      <w:i/>
      <w:iCs/>
      <w:color w:val="0F4761" w:themeColor="accent1" w:themeShade="BF"/>
    </w:rPr>
  </w:style>
  <w:style w:type="character" w:styleId="IntenseReference">
    <w:name w:val="Intense Reference"/>
    <w:basedOn w:val="DefaultParagraphFont"/>
    <w:uiPriority w:val="32"/>
    <w:qFormat/>
    <w:rsid w:val="008C77B4"/>
    <w:rPr>
      <w:b/>
      <w:bCs/>
      <w:smallCaps/>
      <w:color w:val="0F4761" w:themeColor="accent1" w:themeShade="BF"/>
      <w:spacing w:val="5"/>
    </w:rPr>
  </w:style>
  <w:style w:type="paragraph" w:customStyle="1" w:styleId="Default">
    <w:name w:val="Default"/>
    <w:qFormat/>
    <w:rsid w:val="008C77B4"/>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Davis</dc:creator>
  <cp:keywords/>
  <dc:description/>
  <cp:lastModifiedBy>Jennie Davis</cp:lastModifiedBy>
  <cp:revision>7</cp:revision>
  <dcterms:created xsi:type="dcterms:W3CDTF">2025-08-07T12:57:00Z</dcterms:created>
  <dcterms:modified xsi:type="dcterms:W3CDTF">2025-09-18T14:11:00Z</dcterms:modified>
</cp:coreProperties>
</file>