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5FC8" w14:textId="77777777" w:rsidR="00F06078" w:rsidRDefault="00F06078" w:rsidP="00BF2028">
      <w:pPr>
        <w:tabs>
          <w:tab w:val="left" w:pos="1560"/>
          <w:tab w:val="right" w:pos="5760"/>
        </w:tabs>
        <w:rPr>
          <w:rFonts w:ascii="Arial Black" w:eastAsia="Times New Roman" w:hAnsi="Arial Black" w:cstheme="minorHAnsi"/>
          <w:b/>
          <w:sz w:val="26"/>
          <w:szCs w:val="26"/>
          <w:lang w:val="en-US"/>
        </w:rPr>
      </w:pPr>
    </w:p>
    <w:p w14:paraId="2BF14EBB" w14:textId="1E6ED42B" w:rsidR="00D44160" w:rsidRDefault="00D44160" w:rsidP="00BF2028">
      <w:pPr>
        <w:tabs>
          <w:tab w:val="left" w:pos="1560"/>
          <w:tab w:val="right" w:pos="5760"/>
        </w:tabs>
        <w:rPr>
          <w:noProof/>
        </w:rPr>
      </w:pPr>
      <w:r>
        <w:rPr>
          <w:rFonts w:ascii="Arial Black" w:eastAsia="Times New Roman" w:hAnsi="Arial Black" w:cstheme="minorHAnsi"/>
          <w:b/>
          <w:noProof/>
          <w:sz w:val="26"/>
          <w:szCs w:val="26"/>
          <w:lang w:val="en-US"/>
        </w:rPr>
        <w:drawing>
          <wp:inline distT="0" distB="0" distL="0" distR="0" wp14:anchorId="08CB77DA" wp14:editId="1526B625">
            <wp:extent cx="1950720" cy="591185"/>
            <wp:effectExtent l="0" t="0" r="0" b="0"/>
            <wp:docPr id="1590487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591185"/>
                    </a:xfrm>
                    <a:prstGeom prst="rect">
                      <a:avLst/>
                    </a:prstGeom>
                    <a:noFill/>
                  </pic:spPr>
                </pic:pic>
              </a:graphicData>
            </a:graphic>
          </wp:inline>
        </w:drawing>
      </w:r>
    </w:p>
    <w:p w14:paraId="302A664B" w14:textId="77777777" w:rsidR="00D44160" w:rsidRDefault="00D44160" w:rsidP="00BF2028">
      <w:pPr>
        <w:tabs>
          <w:tab w:val="left" w:pos="1560"/>
          <w:tab w:val="right" w:pos="5760"/>
        </w:tabs>
        <w:rPr>
          <w:rFonts w:ascii="Arial Black" w:eastAsia="Times New Roman" w:hAnsi="Arial Black" w:cstheme="minorHAnsi"/>
          <w:b/>
          <w:sz w:val="26"/>
          <w:szCs w:val="26"/>
          <w:lang w:val="en-US"/>
        </w:rPr>
      </w:pPr>
    </w:p>
    <w:p w14:paraId="7173A299" w14:textId="47A87B98" w:rsidR="00BF2028" w:rsidRPr="00BD0923" w:rsidRDefault="005C6CE9" w:rsidP="00BF2028">
      <w:pPr>
        <w:tabs>
          <w:tab w:val="left" w:pos="1560"/>
          <w:tab w:val="right" w:pos="5760"/>
        </w:tabs>
        <w:rPr>
          <w:rFonts w:ascii="Arial Black" w:eastAsia="Times New Roman" w:hAnsi="Arial Black" w:cstheme="minorHAnsi"/>
          <w:sz w:val="26"/>
          <w:szCs w:val="26"/>
          <w:lang w:val="en-US"/>
        </w:rPr>
      </w:pPr>
      <w:r w:rsidRPr="005B6579">
        <w:rPr>
          <w:rFonts w:ascii="Arial Black" w:eastAsia="Times New Roman" w:hAnsi="Arial Black" w:cstheme="minorHAnsi"/>
          <w:b/>
          <w:sz w:val="26"/>
          <w:szCs w:val="26"/>
          <w:lang w:val="en-US"/>
        </w:rPr>
        <w:t>IMPLEMENTATION REPORT</w:t>
      </w:r>
      <w:r w:rsidRPr="005B6579">
        <w:rPr>
          <w:rFonts w:ascii="Arial Black" w:eastAsia="Times New Roman" w:hAnsi="Arial Black" w:cstheme="minorHAnsi"/>
          <w:sz w:val="26"/>
          <w:szCs w:val="26"/>
          <w:lang w:val="en-US"/>
        </w:rPr>
        <w:t xml:space="preserve"> </w:t>
      </w:r>
      <w:r w:rsidR="008D3758" w:rsidRPr="005B6579">
        <w:rPr>
          <w:rFonts w:ascii="Arial Black" w:eastAsia="Times New Roman" w:hAnsi="Arial Black" w:cstheme="minorHAnsi"/>
          <w:sz w:val="26"/>
          <w:szCs w:val="26"/>
          <w:lang w:val="en-US"/>
        </w:rPr>
        <w:t>–</w:t>
      </w:r>
      <w:r w:rsidRPr="005B6579">
        <w:rPr>
          <w:rFonts w:ascii="Arial Black" w:eastAsia="Times New Roman" w:hAnsi="Arial Black" w:cstheme="minorHAnsi"/>
          <w:sz w:val="26"/>
          <w:szCs w:val="26"/>
          <w:lang w:val="en-US"/>
        </w:rPr>
        <w:t xml:space="preserve"> </w:t>
      </w:r>
      <w:r w:rsidR="008D3758" w:rsidRPr="005B6579">
        <w:rPr>
          <w:rFonts w:ascii="Arial Black" w:eastAsia="Times New Roman" w:hAnsi="Arial Black" w:cstheme="minorHAnsi"/>
          <w:sz w:val="26"/>
          <w:szCs w:val="26"/>
          <w:lang w:val="en-US"/>
        </w:rPr>
        <w:t>CYCLICAL PROGRAM REVIEW</w:t>
      </w:r>
    </w:p>
    <w:p w14:paraId="05240ACA" w14:textId="1D29176D" w:rsidR="005B6579" w:rsidRPr="00BF2028" w:rsidRDefault="005B6579" w:rsidP="005B6579">
      <w:pPr>
        <w:tabs>
          <w:tab w:val="left" w:pos="567"/>
        </w:tabs>
        <w:rPr>
          <w:rFonts w:eastAsia="Times New Roman" w:cstheme="minorHAnsi"/>
          <w:b/>
          <w:color w:val="0070C0"/>
          <w:sz w:val="16"/>
          <w:szCs w:val="16"/>
          <w:lang w:val="en-US"/>
        </w:rPr>
      </w:pPr>
    </w:p>
    <w:p w14:paraId="07549E00" w14:textId="7FA358C3" w:rsidR="004729AB" w:rsidRPr="005B6579" w:rsidRDefault="004729AB" w:rsidP="005B6579">
      <w:pPr>
        <w:tabs>
          <w:tab w:val="left" w:pos="567"/>
        </w:tabs>
        <w:rPr>
          <w:rFonts w:eastAsia="Times New Roman" w:cstheme="minorHAnsi"/>
          <w:b/>
          <w:color w:val="0070C0"/>
          <w:sz w:val="26"/>
          <w:szCs w:val="26"/>
          <w:lang w:val="en-US"/>
        </w:rPr>
      </w:pPr>
      <w:r w:rsidRPr="005B6579">
        <w:rPr>
          <w:rFonts w:eastAsia="Times New Roman" w:cstheme="minorHAnsi"/>
          <w:b/>
          <w:color w:val="0070C0"/>
          <w:sz w:val="26"/>
          <w:szCs w:val="26"/>
          <w:lang w:val="en-US"/>
        </w:rPr>
        <w:t>DUE DATE FOR IMPLEM</w:t>
      </w:r>
      <w:r w:rsidR="0028543D">
        <w:rPr>
          <w:rFonts w:eastAsia="Times New Roman" w:cstheme="minorHAnsi"/>
          <w:b/>
          <w:color w:val="0070C0"/>
          <w:sz w:val="26"/>
          <w:szCs w:val="26"/>
          <w:lang w:val="en-US"/>
        </w:rPr>
        <w:t xml:space="preserve">ENTATION REPORT: </w:t>
      </w:r>
      <w:r w:rsidR="00914748">
        <w:rPr>
          <w:rFonts w:eastAsia="Times New Roman" w:cstheme="minorHAnsi"/>
          <w:b/>
          <w:color w:val="0070C0"/>
          <w:sz w:val="26"/>
          <w:szCs w:val="26"/>
          <w:lang w:val="en-US"/>
        </w:rPr>
        <w:t>March</w:t>
      </w:r>
      <w:r w:rsidR="00CF349F">
        <w:rPr>
          <w:rFonts w:eastAsia="Times New Roman" w:cstheme="minorHAnsi"/>
          <w:b/>
          <w:color w:val="0070C0"/>
          <w:sz w:val="26"/>
          <w:szCs w:val="26"/>
          <w:lang w:val="en-US"/>
        </w:rPr>
        <w:t xml:space="preserve"> </w:t>
      </w:r>
      <w:r w:rsidR="00914748">
        <w:rPr>
          <w:rFonts w:eastAsia="Times New Roman" w:cstheme="minorHAnsi"/>
          <w:b/>
          <w:color w:val="0070C0"/>
          <w:sz w:val="26"/>
          <w:szCs w:val="26"/>
          <w:lang w:val="en-US"/>
        </w:rPr>
        <w:t>1</w:t>
      </w:r>
      <w:r w:rsidR="0028543D">
        <w:rPr>
          <w:rFonts w:eastAsia="Times New Roman" w:cstheme="minorHAnsi"/>
          <w:b/>
          <w:color w:val="0070C0"/>
          <w:sz w:val="26"/>
          <w:szCs w:val="26"/>
          <w:lang w:val="en-US"/>
        </w:rPr>
        <w:t>, 202</w:t>
      </w:r>
      <w:r w:rsidR="00914748">
        <w:rPr>
          <w:rFonts w:eastAsia="Times New Roman" w:cstheme="minorHAnsi"/>
          <w:b/>
          <w:color w:val="0070C0"/>
          <w:sz w:val="26"/>
          <w:szCs w:val="26"/>
          <w:lang w:val="en-US"/>
        </w:rPr>
        <w:t>5</w:t>
      </w:r>
    </w:p>
    <w:p w14:paraId="1B25B0D8" w14:textId="77777777" w:rsidR="005B6579" w:rsidRPr="00BF2028" w:rsidRDefault="005B6579" w:rsidP="006B33B3">
      <w:pPr>
        <w:tabs>
          <w:tab w:val="left" w:pos="1560"/>
          <w:tab w:val="right" w:pos="5760"/>
        </w:tabs>
        <w:rPr>
          <w:rFonts w:eastAsia="Times New Roman" w:cstheme="minorHAnsi"/>
          <w:iCs/>
          <w:sz w:val="16"/>
          <w:szCs w:val="16"/>
          <w:lang w:val="en-US"/>
        </w:rPr>
      </w:pPr>
    </w:p>
    <w:tbl>
      <w:tblPr>
        <w:tblStyle w:val="TableGrid"/>
        <w:tblW w:w="10165" w:type="dxa"/>
        <w:tblLook w:val="04A0" w:firstRow="1" w:lastRow="0" w:firstColumn="1" w:lastColumn="0" w:noHBand="0" w:noVBand="1"/>
      </w:tblPr>
      <w:tblGrid>
        <w:gridCol w:w="3505"/>
        <w:gridCol w:w="2970"/>
        <w:gridCol w:w="3690"/>
      </w:tblGrid>
      <w:tr w:rsidR="008D1A09" w:rsidRPr="00A40DF2" w14:paraId="0AE72F7B" w14:textId="77777777" w:rsidTr="00D10BB1">
        <w:tc>
          <w:tcPr>
            <w:tcW w:w="3505" w:type="dxa"/>
            <w:shd w:val="clear" w:color="auto" w:fill="D9D9D9" w:themeFill="background1" w:themeFillShade="D9"/>
          </w:tcPr>
          <w:p w14:paraId="6B281213" w14:textId="330BB0CD" w:rsidR="008D1A09" w:rsidRPr="00B96593" w:rsidRDefault="008D1A09" w:rsidP="006E17C8">
            <w:pPr>
              <w:rPr>
                <w:rFonts w:cstheme="minorHAnsi"/>
                <w:sz w:val="24"/>
                <w:szCs w:val="24"/>
              </w:rPr>
            </w:pPr>
            <w:r w:rsidRPr="00B96593">
              <w:rPr>
                <w:rFonts w:cstheme="minorHAnsi"/>
                <w:sz w:val="24"/>
                <w:szCs w:val="24"/>
              </w:rPr>
              <w:t>Degree Programs Reviewed</w:t>
            </w:r>
          </w:p>
        </w:tc>
        <w:tc>
          <w:tcPr>
            <w:tcW w:w="6660" w:type="dxa"/>
            <w:gridSpan w:val="2"/>
            <w:shd w:val="clear" w:color="auto" w:fill="auto"/>
            <w:vAlign w:val="center"/>
          </w:tcPr>
          <w:p w14:paraId="12CBB668" w14:textId="77777777" w:rsidR="00914748" w:rsidRPr="00B96593" w:rsidRDefault="00914748" w:rsidP="00914748">
            <w:pPr>
              <w:rPr>
                <w:rFonts w:eastAsia="Times New Roman" w:cstheme="minorHAnsi"/>
                <w:sz w:val="24"/>
                <w:szCs w:val="24"/>
                <w:lang w:val="en-US"/>
              </w:rPr>
            </w:pPr>
            <w:r w:rsidRPr="00B96593">
              <w:rPr>
                <w:rFonts w:eastAsia="Times New Roman" w:cstheme="minorHAnsi"/>
                <w:sz w:val="24"/>
                <w:szCs w:val="24"/>
                <w:lang w:val="en-US"/>
              </w:rPr>
              <w:t>BA/BSc Anthropology</w:t>
            </w:r>
          </w:p>
          <w:p w14:paraId="39A293DC" w14:textId="77777777" w:rsidR="00914748" w:rsidRPr="00B96593" w:rsidRDefault="00914748" w:rsidP="00914748">
            <w:pPr>
              <w:rPr>
                <w:rFonts w:eastAsia="Times New Roman" w:cstheme="minorHAnsi"/>
                <w:sz w:val="24"/>
                <w:szCs w:val="24"/>
                <w:lang w:val="en-US"/>
              </w:rPr>
            </w:pPr>
            <w:r w:rsidRPr="00B96593">
              <w:rPr>
                <w:rFonts w:eastAsia="Times New Roman" w:cstheme="minorHAnsi"/>
                <w:sz w:val="24"/>
                <w:szCs w:val="24"/>
                <w:lang w:val="en-US"/>
              </w:rPr>
              <w:t>BA/BSc Archaeology</w:t>
            </w:r>
          </w:p>
          <w:p w14:paraId="6DFFD6FA" w14:textId="225E359A" w:rsidR="00CF690E" w:rsidRPr="00B96593" w:rsidRDefault="00914748" w:rsidP="00914748">
            <w:pPr>
              <w:rPr>
                <w:rFonts w:eastAsia="Times New Roman" w:cstheme="minorHAnsi"/>
                <w:sz w:val="24"/>
                <w:szCs w:val="24"/>
                <w:lang w:val="en-US"/>
              </w:rPr>
            </w:pPr>
            <w:r w:rsidRPr="00B96593">
              <w:rPr>
                <w:rFonts w:eastAsia="Times New Roman" w:cstheme="minorHAnsi"/>
                <w:sz w:val="24"/>
                <w:szCs w:val="24"/>
                <w:lang w:val="en-US"/>
              </w:rPr>
              <w:t>MA/MSc Anthropology</w:t>
            </w:r>
          </w:p>
        </w:tc>
      </w:tr>
      <w:tr w:rsidR="008D1A09" w:rsidRPr="00A40DF2" w14:paraId="3A771E15" w14:textId="77777777" w:rsidTr="00D10BB1">
        <w:tc>
          <w:tcPr>
            <w:tcW w:w="3505" w:type="dxa"/>
            <w:shd w:val="clear" w:color="auto" w:fill="D9D9D9" w:themeFill="background1" w:themeFillShade="D9"/>
          </w:tcPr>
          <w:p w14:paraId="0185CCDD" w14:textId="6BD7EFD0" w:rsidR="008D1A09" w:rsidRPr="00B96593" w:rsidRDefault="008D1A09" w:rsidP="006E17C8">
            <w:pPr>
              <w:rPr>
                <w:rFonts w:cstheme="minorHAnsi"/>
                <w:sz w:val="24"/>
                <w:szCs w:val="24"/>
              </w:rPr>
            </w:pPr>
            <w:r w:rsidRPr="00B96593">
              <w:rPr>
                <w:rFonts w:cstheme="minorHAnsi"/>
                <w:sz w:val="24"/>
                <w:szCs w:val="24"/>
              </w:rPr>
              <w:t xml:space="preserve">Academic Year </w:t>
            </w:r>
            <w:r w:rsidR="004729AB" w:rsidRPr="00B96593">
              <w:rPr>
                <w:rFonts w:cstheme="minorHAnsi"/>
                <w:sz w:val="24"/>
                <w:szCs w:val="24"/>
              </w:rPr>
              <w:t>– Program was Revi</w:t>
            </w:r>
            <w:r w:rsidR="0002209D" w:rsidRPr="00B96593">
              <w:rPr>
                <w:rFonts w:cstheme="minorHAnsi"/>
                <w:sz w:val="24"/>
                <w:szCs w:val="24"/>
              </w:rPr>
              <w:t>e</w:t>
            </w:r>
            <w:r w:rsidR="004729AB" w:rsidRPr="00B96593">
              <w:rPr>
                <w:rFonts w:cstheme="minorHAnsi"/>
                <w:sz w:val="24"/>
                <w:szCs w:val="24"/>
              </w:rPr>
              <w:t>wed</w:t>
            </w:r>
          </w:p>
        </w:tc>
        <w:tc>
          <w:tcPr>
            <w:tcW w:w="6660" w:type="dxa"/>
            <w:gridSpan w:val="2"/>
            <w:shd w:val="clear" w:color="auto" w:fill="auto"/>
            <w:vAlign w:val="center"/>
          </w:tcPr>
          <w:p w14:paraId="7467500E" w14:textId="07F6F6E5" w:rsidR="008D1A09" w:rsidRPr="00B96593" w:rsidRDefault="00CF349F" w:rsidP="00026F27">
            <w:pPr>
              <w:rPr>
                <w:rFonts w:cstheme="minorHAnsi"/>
                <w:sz w:val="24"/>
                <w:szCs w:val="24"/>
              </w:rPr>
            </w:pPr>
            <w:r w:rsidRPr="00B96593">
              <w:rPr>
                <w:rFonts w:eastAsia="Times New Roman" w:cs="Arial"/>
                <w:sz w:val="24"/>
                <w:szCs w:val="24"/>
              </w:rPr>
              <w:t>2022-2023</w:t>
            </w:r>
          </w:p>
        </w:tc>
      </w:tr>
      <w:tr w:rsidR="00CA5E84" w:rsidRPr="00A40DF2" w14:paraId="5B5DC1ED" w14:textId="77777777" w:rsidTr="00D10BB1">
        <w:tc>
          <w:tcPr>
            <w:tcW w:w="3505" w:type="dxa"/>
            <w:shd w:val="clear" w:color="auto" w:fill="D9D9D9" w:themeFill="background1" w:themeFillShade="D9"/>
          </w:tcPr>
          <w:p w14:paraId="239F8267" w14:textId="085B3FD9" w:rsidR="00CA5E84" w:rsidRPr="00B96593" w:rsidRDefault="00CA5E84" w:rsidP="00CA5E84">
            <w:pPr>
              <w:rPr>
                <w:rFonts w:cstheme="minorHAnsi"/>
                <w:sz w:val="24"/>
                <w:szCs w:val="24"/>
              </w:rPr>
            </w:pPr>
            <w:r w:rsidRPr="00B96593">
              <w:rPr>
                <w:rFonts w:cstheme="minorHAnsi"/>
                <w:sz w:val="24"/>
                <w:szCs w:val="24"/>
              </w:rPr>
              <w:t>Date of Site Visit</w:t>
            </w:r>
          </w:p>
        </w:tc>
        <w:tc>
          <w:tcPr>
            <w:tcW w:w="6660" w:type="dxa"/>
            <w:gridSpan w:val="2"/>
            <w:shd w:val="clear" w:color="auto" w:fill="auto"/>
            <w:vAlign w:val="center"/>
          </w:tcPr>
          <w:p w14:paraId="2FF37E9C" w14:textId="7B84C2DD" w:rsidR="0036644E" w:rsidRDefault="00CF349F" w:rsidP="00573850">
            <w:pPr>
              <w:rPr>
                <w:rFonts w:eastAsia="Times New Roman" w:cs="Arial"/>
                <w:sz w:val="24"/>
                <w:szCs w:val="24"/>
              </w:rPr>
            </w:pPr>
            <w:r w:rsidRPr="00B96593">
              <w:rPr>
                <w:rFonts w:eastAsia="Times New Roman" w:cs="Arial"/>
                <w:sz w:val="24"/>
                <w:szCs w:val="24"/>
              </w:rPr>
              <w:t>March 2</w:t>
            </w:r>
            <w:r w:rsidR="00914748" w:rsidRPr="00B96593">
              <w:rPr>
                <w:rFonts w:eastAsia="Times New Roman" w:cs="Arial"/>
                <w:sz w:val="24"/>
                <w:szCs w:val="24"/>
              </w:rPr>
              <w:t>3-</w:t>
            </w:r>
            <w:r w:rsidR="00A469F2">
              <w:rPr>
                <w:rFonts w:eastAsia="Times New Roman" w:cs="Arial"/>
                <w:sz w:val="24"/>
                <w:szCs w:val="24"/>
              </w:rPr>
              <w:t>2</w:t>
            </w:r>
            <w:r w:rsidR="00914748" w:rsidRPr="00B96593">
              <w:rPr>
                <w:rFonts w:eastAsia="Times New Roman" w:cs="Arial"/>
                <w:sz w:val="24"/>
                <w:szCs w:val="24"/>
              </w:rPr>
              <w:t>4</w:t>
            </w:r>
            <w:r w:rsidRPr="00B96593">
              <w:rPr>
                <w:rFonts w:eastAsia="Times New Roman" w:cs="Arial"/>
                <w:sz w:val="24"/>
                <w:szCs w:val="24"/>
              </w:rPr>
              <w:t>, 2023</w:t>
            </w:r>
          </w:p>
          <w:p w14:paraId="5FC67405" w14:textId="25837E3B" w:rsidR="00D10BB1" w:rsidRPr="00D10BB1" w:rsidRDefault="00D10BB1" w:rsidP="00573850">
            <w:pPr>
              <w:rPr>
                <w:rFonts w:eastAsia="Times New Roman" w:cs="Arial"/>
                <w:sz w:val="24"/>
                <w:szCs w:val="24"/>
              </w:rPr>
            </w:pPr>
          </w:p>
        </w:tc>
      </w:tr>
      <w:tr w:rsidR="00C5602A" w:rsidRPr="00A40DF2" w14:paraId="23761869" w14:textId="77777777" w:rsidTr="00D10BB1">
        <w:tc>
          <w:tcPr>
            <w:tcW w:w="3505" w:type="dxa"/>
            <w:shd w:val="clear" w:color="auto" w:fill="D9D9D9" w:themeFill="background1" w:themeFillShade="D9"/>
          </w:tcPr>
          <w:p w14:paraId="45E3F4AC" w14:textId="36544C09" w:rsidR="00C5602A" w:rsidRPr="00A40DF2" w:rsidRDefault="00C5602A" w:rsidP="00CA5E84">
            <w:pPr>
              <w:rPr>
                <w:rFonts w:asciiTheme="minorHAnsi" w:hAnsiTheme="minorHAnsi" w:cstheme="minorHAnsi"/>
                <w:sz w:val="24"/>
                <w:szCs w:val="24"/>
              </w:rPr>
            </w:pPr>
            <w:r w:rsidRPr="0052090D">
              <w:rPr>
                <w:rFonts w:asciiTheme="minorHAnsi" w:hAnsiTheme="minorHAnsi" w:cstheme="minorHAnsi"/>
                <w:sz w:val="24"/>
                <w:szCs w:val="24"/>
              </w:rPr>
              <w:t>Signature of Chair and/or Director</w:t>
            </w:r>
          </w:p>
        </w:tc>
        <w:tc>
          <w:tcPr>
            <w:tcW w:w="2970" w:type="dxa"/>
            <w:shd w:val="clear" w:color="auto" w:fill="auto"/>
            <w:vAlign w:val="center"/>
          </w:tcPr>
          <w:p w14:paraId="22D9E937" w14:textId="77777777" w:rsidR="00C5602A" w:rsidRDefault="00C5602A" w:rsidP="00CA5E84">
            <w:pPr>
              <w:rPr>
                <w:rFonts w:asciiTheme="minorHAnsi" w:hAnsiTheme="minorHAnsi" w:cstheme="minorHAnsi"/>
                <w:sz w:val="24"/>
                <w:szCs w:val="24"/>
              </w:rPr>
            </w:pPr>
            <w:r>
              <w:rPr>
                <w:rFonts w:asciiTheme="minorHAnsi" w:hAnsiTheme="minorHAnsi" w:cstheme="minorHAnsi"/>
                <w:sz w:val="24"/>
                <w:szCs w:val="24"/>
              </w:rPr>
              <w:t xml:space="preserve"> </w:t>
            </w:r>
            <w:r>
              <w:rPr>
                <w:rFonts w:cstheme="minorHAnsi"/>
                <w:noProof/>
                <w:sz w:val="24"/>
                <w:szCs w:val="24"/>
                <w:lang w:val="en-US"/>
              </w:rPr>
              <w:drawing>
                <wp:inline distT="0" distB="0" distL="0" distR="0" wp14:anchorId="0D20B7E7" wp14:editId="002CBECC">
                  <wp:extent cx="800100" cy="418160"/>
                  <wp:effectExtent l="0" t="0" r="0" b="1270"/>
                  <wp:docPr id="1640229519" name="Picture 1" descr="A close-up of a blue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29519" name="Picture 1" descr="A close-up of a blue writin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6120" cy="421306"/>
                          </a:xfrm>
                          <a:prstGeom prst="rect">
                            <a:avLst/>
                          </a:prstGeom>
                        </pic:spPr>
                      </pic:pic>
                    </a:graphicData>
                  </a:graphic>
                </wp:inline>
              </w:drawing>
            </w:r>
          </w:p>
          <w:p w14:paraId="79EF183C" w14:textId="6B7C36E3" w:rsidR="00C5602A" w:rsidRDefault="00C5602A" w:rsidP="00C5602A">
            <w:pPr>
              <w:rPr>
                <w:rFonts w:cstheme="minorHAnsi"/>
                <w:sz w:val="24"/>
                <w:szCs w:val="24"/>
              </w:rPr>
            </w:pPr>
            <w:r>
              <w:rPr>
                <w:rFonts w:asciiTheme="minorHAnsi" w:hAnsiTheme="minorHAnsi" w:cstheme="minorHAnsi"/>
                <w:sz w:val="24"/>
                <w:szCs w:val="24"/>
              </w:rPr>
              <w:t>Chair – Jennifer P. Moore</w:t>
            </w:r>
          </w:p>
        </w:tc>
        <w:tc>
          <w:tcPr>
            <w:tcW w:w="3690" w:type="dxa"/>
            <w:shd w:val="clear" w:color="auto" w:fill="auto"/>
            <w:vAlign w:val="center"/>
          </w:tcPr>
          <w:p w14:paraId="583A2BAA" w14:textId="13A2556C" w:rsidR="00C5602A" w:rsidRDefault="2FB7C3C7" w:rsidP="045897A3">
            <w:pPr>
              <w:rPr>
                <w:rFonts w:asciiTheme="minorHAnsi" w:hAnsiTheme="minorHAnsi" w:cstheme="minorBidi"/>
                <w:sz w:val="24"/>
                <w:szCs w:val="24"/>
              </w:rPr>
            </w:pPr>
            <w:r>
              <w:rPr>
                <w:noProof/>
                <w:lang w:val="en-US"/>
              </w:rPr>
              <w:drawing>
                <wp:inline distT="0" distB="0" distL="0" distR="0" wp14:anchorId="280AAA91" wp14:editId="3033F27D">
                  <wp:extent cx="829283" cy="337457"/>
                  <wp:effectExtent l="0" t="0" r="0" b="0"/>
                  <wp:docPr id="1838679699" name="Picture 1838679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283" cy="337457"/>
                          </a:xfrm>
                          <a:prstGeom prst="rect">
                            <a:avLst/>
                          </a:prstGeom>
                        </pic:spPr>
                      </pic:pic>
                    </a:graphicData>
                  </a:graphic>
                </wp:inline>
              </w:drawing>
            </w:r>
          </w:p>
          <w:p w14:paraId="741D5124" w14:textId="77777777" w:rsidR="00C5602A" w:rsidRDefault="00C5602A" w:rsidP="00CA5E84">
            <w:pPr>
              <w:rPr>
                <w:rFonts w:asciiTheme="minorHAnsi" w:hAnsiTheme="minorHAnsi" w:cstheme="minorHAnsi"/>
                <w:sz w:val="24"/>
                <w:szCs w:val="24"/>
              </w:rPr>
            </w:pPr>
          </w:p>
          <w:p w14:paraId="6D52FB0D" w14:textId="612DDC53" w:rsidR="00C5602A" w:rsidRPr="00A40DF2" w:rsidRDefault="00D659A8" w:rsidP="00CA5E84">
            <w:pPr>
              <w:rPr>
                <w:rFonts w:asciiTheme="minorHAnsi" w:hAnsiTheme="minorHAnsi" w:cstheme="minorHAnsi"/>
                <w:sz w:val="24"/>
                <w:szCs w:val="24"/>
              </w:rPr>
            </w:pPr>
            <w:r>
              <w:rPr>
                <w:rFonts w:asciiTheme="minorHAnsi" w:hAnsiTheme="minorHAnsi" w:cstheme="minorHAnsi"/>
                <w:sz w:val="24"/>
                <w:szCs w:val="24"/>
              </w:rPr>
              <w:t>Graduate Director – Paul Szpak</w:t>
            </w:r>
          </w:p>
        </w:tc>
      </w:tr>
      <w:tr w:rsidR="00D659A8" w:rsidRPr="00A40DF2" w14:paraId="25CCC705" w14:textId="77777777" w:rsidTr="00D10BB1">
        <w:tc>
          <w:tcPr>
            <w:tcW w:w="3505" w:type="dxa"/>
            <w:shd w:val="clear" w:color="auto" w:fill="D9D9D9" w:themeFill="background1" w:themeFillShade="D9"/>
          </w:tcPr>
          <w:p w14:paraId="285E2B2D" w14:textId="77777777" w:rsidR="00D659A8" w:rsidRDefault="00D659A8" w:rsidP="00CA5E84">
            <w:pPr>
              <w:rPr>
                <w:rFonts w:cstheme="minorHAnsi"/>
                <w:sz w:val="24"/>
                <w:szCs w:val="24"/>
              </w:rPr>
            </w:pPr>
            <w:r>
              <w:rPr>
                <w:rFonts w:cstheme="minorHAnsi"/>
                <w:sz w:val="24"/>
                <w:szCs w:val="24"/>
              </w:rPr>
              <w:t>Date</w:t>
            </w:r>
          </w:p>
          <w:p w14:paraId="0CF7BD4D" w14:textId="764D55F1" w:rsidR="00D659A8" w:rsidRPr="0052090D" w:rsidRDefault="00D659A8" w:rsidP="00CA5E84">
            <w:pPr>
              <w:rPr>
                <w:rFonts w:cstheme="minorHAnsi"/>
                <w:sz w:val="24"/>
                <w:szCs w:val="24"/>
              </w:rPr>
            </w:pPr>
          </w:p>
        </w:tc>
        <w:tc>
          <w:tcPr>
            <w:tcW w:w="2970" w:type="dxa"/>
            <w:shd w:val="clear" w:color="auto" w:fill="auto"/>
            <w:vAlign w:val="center"/>
          </w:tcPr>
          <w:p w14:paraId="50FD4FA6" w14:textId="77777777" w:rsidR="00D659A8" w:rsidRDefault="00D659A8" w:rsidP="00CA5E84">
            <w:pPr>
              <w:rPr>
                <w:rFonts w:cstheme="minorHAnsi"/>
                <w:sz w:val="24"/>
                <w:szCs w:val="24"/>
              </w:rPr>
            </w:pPr>
            <w:r>
              <w:rPr>
                <w:rFonts w:cstheme="minorHAnsi"/>
                <w:sz w:val="24"/>
                <w:szCs w:val="24"/>
              </w:rPr>
              <w:t>February 28, 2025</w:t>
            </w:r>
          </w:p>
        </w:tc>
        <w:tc>
          <w:tcPr>
            <w:tcW w:w="3690" w:type="dxa"/>
            <w:shd w:val="clear" w:color="auto" w:fill="auto"/>
            <w:vAlign w:val="center"/>
          </w:tcPr>
          <w:p w14:paraId="1725F24A" w14:textId="10A0E01A" w:rsidR="00D659A8" w:rsidRDefault="7DDFDE7C" w:rsidP="045897A3">
            <w:pPr>
              <w:rPr>
                <w:rFonts w:cstheme="minorBidi"/>
                <w:sz w:val="24"/>
                <w:szCs w:val="24"/>
              </w:rPr>
            </w:pPr>
            <w:r w:rsidRPr="045897A3">
              <w:rPr>
                <w:rFonts w:cstheme="minorBidi"/>
                <w:sz w:val="24"/>
                <w:szCs w:val="24"/>
              </w:rPr>
              <w:t>February 28, 2025</w:t>
            </w:r>
          </w:p>
        </w:tc>
      </w:tr>
      <w:tr w:rsidR="00AE4181" w:rsidRPr="00A40DF2" w14:paraId="61268EFC" w14:textId="77777777" w:rsidTr="00D10BB1">
        <w:trPr>
          <w:trHeight w:val="535"/>
        </w:trPr>
        <w:tc>
          <w:tcPr>
            <w:tcW w:w="3505" w:type="dxa"/>
            <w:shd w:val="clear" w:color="auto" w:fill="D9D9D9" w:themeFill="background1" w:themeFillShade="D9"/>
          </w:tcPr>
          <w:p w14:paraId="32499339" w14:textId="036311B8" w:rsidR="00AE4181" w:rsidRPr="00A40DF2" w:rsidRDefault="00AE4181" w:rsidP="00AE4181">
            <w:pPr>
              <w:rPr>
                <w:rFonts w:asciiTheme="minorHAnsi" w:hAnsiTheme="minorHAnsi" w:cstheme="minorHAnsi"/>
                <w:sz w:val="24"/>
                <w:szCs w:val="24"/>
              </w:rPr>
            </w:pPr>
            <w:r>
              <w:rPr>
                <w:rFonts w:asciiTheme="minorHAnsi" w:hAnsiTheme="minorHAnsi" w:cstheme="minorHAnsi"/>
                <w:sz w:val="24"/>
                <w:szCs w:val="24"/>
              </w:rPr>
              <w:t>Signature of Dean</w:t>
            </w:r>
            <w:r w:rsidR="00390321">
              <w:rPr>
                <w:rFonts w:asciiTheme="minorHAnsi" w:hAnsiTheme="minorHAnsi" w:cstheme="minorHAnsi"/>
                <w:sz w:val="24"/>
                <w:szCs w:val="24"/>
              </w:rPr>
              <w:t xml:space="preserve"> of Humanities and Social Sciences</w:t>
            </w:r>
          </w:p>
          <w:p w14:paraId="4CE10E46" w14:textId="77777777" w:rsidR="00AE4181" w:rsidRDefault="00AE4181" w:rsidP="00CA5E84">
            <w:pPr>
              <w:rPr>
                <w:rFonts w:cstheme="minorHAnsi"/>
                <w:sz w:val="24"/>
                <w:szCs w:val="24"/>
              </w:rPr>
            </w:pPr>
          </w:p>
        </w:tc>
        <w:tc>
          <w:tcPr>
            <w:tcW w:w="6660" w:type="dxa"/>
            <w:gridSpan w:val="2"/>
            <w:vAlign w:val="center"/>
          </w:tcPr>
          <w:p w14:paraId="425FA99C" w14:textId="77777777" w:rsidR="00AE4181" w:rsidRDefault="00390321" w:rsidP="00CA5E84">
            <w:pPr>
              <w:rPr>
                <w:rFonts w:cstheme="minorHAnsi"/>
                <w:sz w:val="24"/>
                <w:szCs w:val="24"/>
              </w:rPr>
            </w:pPr>
            <w:r w:rsidRPr="00DF363C">
              <w:rPr>
                <w:rFonts w:cstheme="minorHAnsi"/>
                <w:noProof/>
                <w:sz w:val="24"/>
                <w:szCs w:val="24"/>
                <w:lang w:val="en-US"/>
              </w:rPr>
              <w:drawing>
                <wp:inline distT="0" distB="0" distL="0" distR="0" wp14:anchorId="3A96B244" wp14:editId="4241BB5C">
                  <wp:extent cx="1148292" cy="333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9500" cy="339532"/>
                          </a:xfrm>
                          <a:prstGeom prst="rect">
                            <a:avLst/>
                          </a:prstGeom>
                          <a:noFill/>
                          <a:ln>
                            <a:noFill/>
                          </a:ln>
                        </pic:spPr>
                      </pic:pic>
                    </a:graphicData>
                  </a:graphic>
                </wp:inline>
              </w:drawing>
            </w:r>
            <w:r>
              <w:rPr>
                <w:rFonts w:cstheme="minorHAnsi"/>
                <w:sz w:val="24"/>
                <w:szCs w:val="24"/>
              </w:rPr>
              <w:t xml:space="preserve"> </w:t>
            </w:r>
          </w:p>
          <w:p w14:paraId="70ED7821" w14:textId="6F2D76C7" w:rsidR="00390321" w:rsidRPr="00A40DF2" w:rsidRDefault="00390321" w:rsidP="00CA5E84">
            <w:pPr>
              <w:rPr>
                <w:rFonts w:cstheme="minorHAnsi"/>
                <w:sz w:val="24"/>
                <w:szCs w:val="24"/>
              </w:rPr>
            </w:pPr>
            <w:r>
              <w:rPr>
                <w:rFonts w:cstheme="minorHAnsi"/>
                <w:sz w:val="24"/>
                <w:szCs w:val="24"/>
              </w:rPr>
              <w:t>Mark Skinner</w:t>
            </w:r>
          </w:p>
        </w:tc>
      </w:tr>
      <w:tr w:rsidR="00B569EF" w:rsidRPr="00A40DF2" w14:paraId="2AEF3B93" w14:textId="77777777" w:rsidTr="00D10BB1">
        <w:trPr>
          <w:trHeight w:val="535"/>
        </w:trPr>
        <w:tc>
          <w:tcPr>
            <w:tcW w:w="3505" w:type="dxa"/>
            <w:shd w:val="clear" w:color="auto" w:fill="D9D9D9" w:themeFill="background1" w:themeFillShade="D9"/>
          </w:tcPr>
          <w:p w14:paraId="47D7B1FA" w14:textId="640A663B" w:rsidR="00B569EF" w:rsidRDefault="00B569EF" w:rsidP="00AE4181">
            <w:pPr>
              <w:rPr>
                <w:rFonts w:cstheme="minorHAnsi"/>
                <w:sz w:val="24"/>
                <w:szCs w:val="24"/>
              </w:rPr>
            </w:pPr>
            <w:r>
              <w:rPr>
                <w:rFonts w:cstheme="minorHAnsi"/>
                <w:sz w:val="24"/>
                <w:szCs w:val="24"/>
              </w:rPr>
              <w:t>Date</w:t>
            </w:r>
          </w:p>
        </w:tc>
        <w:tc>
          <w:tcPr>
            <w:tcW w:w="6660" w:type="dxa"/>
            <w:gridSpan w:val="2"/>
            <w:vAlign w:val="center"/>
          </w:tcPr>
          <w:p w14:paraId="38D3A860" w14:textId="4C33B55D" w:rsidR="00B569EF" w:rsidRPr="00A40DF2" w:rsidRDefault="00390321" w:rsidP="00CA5E84">
            <w:pPr>
              <w:rPr>
                <w:rFonts w:cstheme="minorHAnsi"/>
                <w:sz w:val="24"/>
                <w:szCs w:val="24"/>
              </w:rPr>
            </w:pPr>
            <w:r>
              <w:rPr>
                <w:rFonts w:cstheme="minorHAnsi"/>
                <w:sz w:val="24"/>
                <w:szCs w:val="24"/>
              </w:rPr>
              <w:t>March 3, 2025</w:t>
            </w:r>
          </w:p>
        </w:tc>
      </w:tr>
      <w:tr w:rsidR="00B569EF" w:rsidRPr="00A40DF2" w14:paraId="5A30133C" w14:textId="77777777" w:rsidTr="00D10BB1">
        <w:trPr>
          <w:trHeight w:val="535"/>
        </w:trPr>
        <w:tc>
          <w:tcPr>
            <w:tcW w:w="3505" w:type="dxa"/>
            <w:shd w:val="clear" w:color="auto" w:fill="D9D9D9" w:themeFill="background1" w:themeFillShade="D9"/>
          </w:tcPr>
          <w:p w14:paraId="1FE438CE" w14:textId="3E666418" w:rsidR="00B569EF" w:rsidRPr="00A40DF2" w:rsidRDefault="00B569EF" w:rsidP="00B569EF">
            <w:pPr>
              <w:rPr>
                <w:rFonts w:asciiTheme="minorHAnsi" w:hAnsiTheme="minorHAnsi" w:cstheme="minorHAnsi"/>
                <w:sz w:val="24"/>
                <w:szCs w:val="24"/>
              </w:rPr>
            </w:pPr>
            <w:r>
              <w:rPr>
                <w:rFonts w:asciiTheme="minorHAnsi" w:hAnsiTheme="minorHAnsi" w:cstheme="minorHAnsi"/>
                <w:sz w:val="24"/>
                <w:szCs w:val="24"/>
              </w:rPr>
              <w:t xml:space="preserve">Signature of </w:t>
            </w:r>
            <w:r w:rsidR="0045160E">
              <w:rPr>
                <w:rFonts w:asciiTheme="minorHAnsi" w:hAnsiTheme="minorHAnsi" w:cstheme="minorHAnsi"/>
                <w:sz w:val="24"/>
                <w:szCs w:val="24"/>
              </w:rPr>
              <w:t xml:space="preserve">Graduate </w:t>
            </w:r>
            <w:r>
              <w:rPr>
                <w:rFonts w:asciiTheme="minorHAnsi" w:hAnsiTheme="minorHAnsi" w:cstheme="minorHAnsi"/>
                <w:sz w:val="24"/>
                <w:szCs w:val="24"/>
              </w:rPr>
              <w:t>Dean</w:t>
            </w:r>
          </w:p>
          <w:p w14:paraId="21658148" w14:textId="77777777" w:rsidR="00B569EF" w:rsidRDefault="00B569EF" w:rsidP="00CA5E84">
            <w:pPr>
              <w:rPr>
                <w:rFonts w:cstheme="minorHAnsi"/>
                <w:sz w:val="24"/>
                <w:szCs w:val="24"/>
              </w:rPr>
            </w:pPr>
          </w:p>
        </w:tc>
        <w:tc>
          <w:tcPr>
            <w:tcW w:w="6660" w:type="dxa"/>
            <w:gridSpan w:val="2"/>
            <w:vAlign w:val="center"/>
          </w:tcPr>
          <w:p w14:paraId="20E071AE" w14:textId="77777777" w:rsidR="00B569EF" w:rsidRDefault="0015024C" w:rsidP="00CA5E84">
            <w:pPr>
              <w:rPr>
                <w:rFonts w:cstheme="minorHAnsi"/>
                <w:sz w:val="24"/>
                <w:szCs w:val="24"/>
              </w:rPr>
            </w:pPr>
            <w:r>
              <w:rPr>
                <w:rFonts w:cstheme="minorHAnsi"/>
                <w:noProof/>
                <w:sz w:val="24"/>
                <w:szCs w:val="24"/>
                <w:lang w:val="en-US"/>
              </w:rPr>
              <w:drawing>
                <wp:inline distT="0" distB="0" distL="0" distR="0" wp14:anchorId="4759B9B2" wp14:editId="2D1D30FF">
                  <wp:extent cx="1302818" cy="406324"/>
                  <wp:effectExtent l="0" t="0" r="0" b="635"/>
                  <wp:docPr id="1512565482"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65482" name="Picture 1" descr="A close-up of a signatu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883" cy="437844"/>
                          </a:xfrm>
                          <a:prstGeom prst="rect">
                            <a:avLst/>
                          </a:prstGeom>
                        </pic:spPr>
                      </pic:pic>
                    </a:graphicData>
                  </a:graphic>
                </wp:inline>
              </w:drawing>
            </w:r>
          </w:p>
          <w:p w14:paraId="4E1D6ECA" w14:textId="4D3CB2AC" w:rsidR="006D514A" w:rsidRPr="00A40DF2" w:rsidRDefault="006D514A" w:rsidP="00CA5E84">
            <w:pPr>
              <w:rPr>
                <w:rFonts w:cstheme="minorHAnsi"/>
                <w:sz w:val="24"/>
                <w:szCs w:val="24"/>
              </w:rPr>
            </w:pPr>
            <w:r>
              <w:rPr>
                <w:rFonts w:cstheme="minorHAnsi"/>
                <w:sz w:val="24"/>
                <w:szCs w:val="24"/>
              </w:rPr>
              <w:t>Craig Brunetti</w:t>
            </w:r>
          </w:p>
        </w:tc>
      </w:tr>
      <w:tr w:rsidR="00CA5E84" w:rsidRPr="00A40DF2" w14:paraId="673AB591" w14:textId="77777777" w:rsidTr="00D10BB1">
        <w:trPr>
          <w:trHeight w:val="535"/>
        </w:trPr>
        <w:tc>
          <w:tcPr>
            <w:tcW w:w="3505" w:type="dxa"/>
            <w:shd w:val="clear" w:color="auto" w:fill="D9D9D9" w:themeFill="background1" w:themeFillShade="D9"/>
          </w:tcPr>
          <w:p w14:paraId="278A0444" w14:textId="19157AEF" w:rsidR="00CA5E84" w:rsidRPr="00A40DF2" w:rsidRDefault="00CA5E84" w:rsidP="00CA5E84">
            <w:pPr>
              <w:rPr>
                <w:rFonts w:asciiTheme="minorHAnsi" w:hAnsiTheme="minorHAnsi" w:cstheme="minorHAnsi"/>
                <w:sz w:val="24"/>
                <w:szCs w:val="24"/>
              </w:rPr>
            </w:pPr>
            <w:r>
              <w:rPr>
                <w:rFonts w:asciiTheme="minorHAnsi" w:hAnsiTheme="minorHAnsi" w:cstheme="minorHAnsi"/>
                <w:sz w:val="24"/>
                <w:szCs w:val="24"/>
              </w:rPr>
              <w:t>Date</w:t>
            </w:r>
          </w:p>
          <w:p w14:paraId="74D26A4F" w14:textId="77777777" w:rsidR="00CA5E84" w:rsidRPr="00A40DF2" w:rsidRDefault="00CA5E84" w:rsidP="00CA5E84">
            <w:pPr>
              <w:rPr>
                <w:rFonts w:asciiTheme="minorHAnsi" w:hAnsiTheme="minorHAnsi" w:cstheme="minorHAnsi"/>
                <w:sz w:val="24"/>
                <w:szCs w:val="24"/>
              </w:rPr>
            </w:pPr>
          </w:p>
        </w:tc>
        <w:tc>
          <w:tcPr>
            <w:tcW w:w="6660" w:type="dxa"/>
            <w:gridSpan w:val="2"/>
            <w:vAlign w:val="center"/>
          </w:tcPr>
          <w:p w14:paraId="48F7D888" w14:textId="6FDD8495" w:rsidR="00CA5E84" w:rsidRPr="00A40DF2" w:rsidRDefault="0015024C" w:rsidP="00CA5E84">
            <w:pPr>
              <w:rPr>
                <w:rFonts w:asciiTheme="minorHAnsi" w:hAnsiTheme="minorHAnsi" w:cstheme="minorHAnsi"/>
                <w:sz w:val="24"/>
                <w:szCs w:val="24"/>
              </w:rPr>
            </w:pPr>
            <w:r>
              <w:rPr>
                <w:rFonts w:asciiTheme="minorHAnsi" w:hAnsiTheme="minorHAnsi" w:cstheme="minorHAnsi"/>
                <w:sz w:val="24"/>
                <w:szCs w:val="24"/>
              </w:rPr>
              <w:t>March 3, 2025</w:t>
            </w:r>
          </w:p>
        </w:tc>
      </w:tr>
      <w:tr w:rsidR="006F10EE" w:rsidRPr="00A40DF2" w14:paraId="11463863" w14:textId="77777777" w:rsidTr="00D10BB1">
        <w:trPr>
          <w:trHeight w:val="535"/>
        </w:trPr>
        <w:tc>
          <w:tcPr>
            <w:tcW w:w="3505" w:type="dxa"/>
            <w:shd w:val="clear" w:color="auto" w:fill="D9D9D9" w:themeFill="background1" w:themeFillShade="D9"/>
          </w:tcPr>
          <w:p w14:paraId="3265643C" w14:textId="54E71998" w:rsidR="006F10EE" w:rsidRPr="00A40DF2" w:rsidRDefault="006F10EE" w:rsidP="001E0A9C">
            <w:pPr>
              <w:rPr>
                <w:rFonts w:asciiTheme="minorHAnsi" w:hAnsiTheme="minorHAnsi" w:cstheme="minorHAnsi"/>
                <w:sz w:val="24"/>
                <w:szCs w:val="24"/>
              </w:rPr>
            </w:pPr>
            <w:r>
              <w:rPr>
                <w:rFonts w:asciiTheme="minorHAnsi" w:hAnsiTheme="minorHAnsi" w:cstheme="minorHAnsi"/>
                <w:sz w:val="24"/>
                <w:szCs w:val="24"/>
              </w:rPr>
              <w:t>Signature of Dean, Durham GTA</w:t>
            </w:r>
          </w:p>
          <w:p w14:paraId="76C32C02" w14:textId="77777777" w:rsidR="006F10EE" w:rsidRDefault="006F10EE" w:rsidP="001E0A9C">
            <w:pPr>
              <w:rPr>
                <w:rFonts w:cstheme="minorHAnsi"/>
                <w:sz w:val="24"/>
                <w:szCs w:val="24"/>
              </w:rPr>
            </w:pPr>
          </w:p>
        </w:tc>
        <w:tc>
          <w:tcPr>
            <w:tcW w:w="6660" w:type="dxa"/>
            <w:gridSpan w:val="2"/>
            <w:vAlign w:val="center"/>
          </w:tcPr>
          <w:p w14:paraId="41CF0DA5" w14:textId="77777777" w:rsidR="00D10BB1" w:rsidRDefault="006929AA" w:rsidP="001E0A9C">
            <w:pPr>
              <w:rPr>
                <w:rFonts w:cstheme="minorHAnsi"/>
                <w:sz w:val="24"/>
                <w:szCs w:val="24"/>
              </w:rPr>
            </w:pPr>
            <w:r>
              <w:rPr>
                <w:rFonts w:cstheme="minorHAnsi"/>
                <w:noProof/>
                <w:sz w:val="24"/>
                <w:szCs w:val="24"/>
                <w:lang w:val="en-US"/>
              </w:rPr>
              <w:drawing>
                <wp:inline distT="0" distB="0" distL="0" distR="0" wp14:anchorId="39270E14" wp14:editId="58059234">
                  <wp:extent cx="1054100" cy="378178"/>
                  <wp:effectExtent l="0" t="0" r="0" b="3175"/>
                  <wp:docPr id="329389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89365" name="Picture 329389365"/>
                          <pic:cNvPicPr/>
                        </pic:nvPicPr>
                        <pic:blipFill>
                          <a:blip r:embed="rId13">
                            <a:extLst>
                              <a:ext uri="{28A0092B-C50C-407E-A947-70E740481C1C}">
                                <a14:useLocalDpi xmlns:a14="http://schemas.microsoft.com/office/drawing/2010/main" val="0"/>
                              </a:ext>
                            </a:extLst>
                          </a:blip>
                          <a:stretch>
                            <a:fillRect/>
                          </a:stretch>
                        </pic:blipFill>
                        <pic:spPr>
                          <a:xfrm>
                            <a:off x="0" y="0"/>
                            <a:ext cx="1064272" cy="381827"/>
                          </a:xfrm>
                          <a:prstGeom prst="rect">
                            <a:avLst/>
                          </a:prstGeom>
                        </pic:spPr>
                      </pic:pic>
                    </a:graphicData>
                  </a:graphic>
                </wp:inline>
              </w:drawing>
            </w:r>
            <w:r>
              <w:rPr>
                <w:rFonts w:cstheme="minorHAnsi"/>
                <w:sz w:val="24"/>
                <w:szCs w:val="24"/>
              </w:rPr>
              <w:t xml:space="preserve">  </w:t>
            </w:r>
          </w:p>
          <w:p w14:paraId="387C3D3E" w14:textId="2B4CF13A" w:rsidR="006F10EE" w:rsidRPr="00A40DF2" w:rsidRDefault="00C443C0" w:rsidP="001E0A9C">
            <w:pPr>
              <w:rPr>
                <w:rFonts w:cstheme="minorHAnsi"/>
                <w:sz w:val="24"/>
                <w:szCs w:val="24"/>
              </w:rPr>
            </w:pPr>
            <w:r>
              <w:rPr>
                <w:rFonts w:cstheme="minorHAnsi"/>
                <w:sz w:val="24"/>
                <w:szCs w:val="24"/>
              </w:rPr>
              <w:t>Wenying Feng</w:t>
            </w:r>
          </w:p>
        </w:tc>
      </w:tr>
      <w:tr w:rsidR="006F10EE" w:rsidRPr="00A40DF2" w14:paraId="560E534E" w14:textId="77777777" w:rsidTr="00D10BB1">
        <w:trPr>
          <w:trHeight w:val="535"/>
        </w:trPr>
        <w:tc>
          <w:tcPr>
            <w:tcW w:w="3505" w:type="dxa"/>
            <w:shd w:val="clear" w:color="auto" w:fill="D9D9D9" w:themeFill="background1" w:themeFillShade="D9"/>
          </w:tcPr>
          <w:p w14:paraId="4DEDDEAB" w14:textId="77777777" w:rsidR="006F10EE" w:rsidRPr="00A40DF2" w:rsidRDefault="006F10EE" w:rsidP="001E0A9C">
            <w:pPr>
              <w:rPr>
                <w:rFonts w:asciiTheme="minorHAnsi" w:hAnsiTheme="minorHAnsi" w:cstheme="minorHAnsi"/>
                <w:sz w:val="24"/>
                <w:szCs w:val="24"/>
              </w:rPr>
            </w:pPr>
            <w:r>
              <w:rPr>
                <w:rFonts w:asciiTheme="minorHAnsi" w:hAnsiTheme="minorHAnsi" w:cstheme="minorHAnsi"/>
                <w:sz w:val="24"/>
                <w:szCs w:val="24"/>
              </w:rPr>
              <w:t>Date</w:t>
            </w:r>
          </w:p>
          <w:p w14:paraId="39842282" w14:textId="77777777" w:rsidR="006F10EE" w:rsidRPr="00A40DF2" w:rsidRDefault="006F10EE" w:rsidP="001E0A9C">
            <w:pPr>
              <w:rPr>
                <w:rFonts w:asciiTheme="minorHAnsi" w:hAnsiTheme="minorHAnsi" w:cstheme="minorHAnsi"/>
                <w:sz w:val="24"/>
                <w:szCs w:val="24"/>
              </w:rPr>
            </w:pPr>
          </w:p>
        </w:tc>
        <w:tc>
          <w:tcPr>
            <w:tcW w:w="6660" w:type="dxa"/>
            <w:gridSpan w:val="2"/>
            <w:vAlign w:val="center"/>
          </w:tcPr>
          <w:p w14:paraId="1D2CADA5" w14:textId="534ACEA3" w:rsidR="00C443C0" w:rsidRPr="00A40DF2" w:rsidRDefault="00C443C0" w:rsidP="001E0A9C">
            <w:pPr>
              <w:rPr>
                <w:rFonts w:asciiTheme="minorHAnsi" w:hAnsiTheme="minorHAnsi" w:cstheme="minorHAnsi"/>
                <w:sz w:val="24"/>
                <w:szCs w:val="24"/>
              </w:rPr>
            </w:pPr>
            <w:r>
              <w:rPr>
                <w:rFonts w:asciiTheme="minorHAnsi" w:hAnsiTheme="minorHAnsi" w:cstheme="minorHAnsi"/>
                <w:sz w:val="24"/>
                <w:szCs w:val="24"/>
              </w:rPr>
              <w:t>March 3, 2025</w:t>
            </w:r>
          </w:p>
        </w:tc>
      </w:tr>
    </w:tbl>
    <w:p w14:paraId="2D6FFE30" w14:textId="77777777" w:rsidR="005C6CE9" w:rsidRPr="00156E8C" w:rsidRDefault="005C6CE9" w:rsidP="005C6CE9">
      <w:pPr>
        <w:tabs>
          <w:tab w:val="left" w:pos="567"/>
        </w:tabs>
        <w:rPr>
          <w:rFonts w:ascii="Calibri" w:eastAsia="Times New Roman" w:hAnsi="Calibri" w:cs="Arial"/>
          <w:sz w:val="20"/>
          <w:szCs w:val="20"/>
          <w:lang w:val="en-US"/>
        </w:rPr>
      </w:pPr>
    </w:p>
    <w:p w14:paraId="3578E4A5" w14:textId="3F8601A2" w:rsidR="00914748" w:rsidRPr="00914748" w:rsidRDefault="008F73AF" w:rsidP="00914748">
      <w:pPr>
        <w:tabs>
          <w:tab w:val="left" w:pos="567"/>
        </w:tabs>
        <w:rPr>
          <w:rFonts w:eastAsia="Times New Roman" w:cstheme="minorHAnsi"/>
          <w:b/>
          <w:color w:val="0070C0"/>
          <w:sz w:val="28"/>
          <w:szCs w:val="28"/>
          <w:lang w:val="en-US"/>
        </w:rPr>
      </w:pPr>
      <w:r w:rsidRPr="008F73AF">
        <w:rPr>
          <w:rFonts w:eastAsia="Times New Roman" w:cstheme="minorHAnsi"/>
          <w:b/>
          <w:color w:val="0070C0"/>
          <w:sz w:val="28"/>
          <w:szCs w:val="28"/>
          <w:lang w:val="en-US"/>
        </w:rPr>
        <w:t xml:space="preserve">Recommendations </w:t>
      </w:r>
      <w:r w:rsidR="00EC6AE5">
        <w:rPr>
          <w:rFonts w:eastAsia="Times New Roman" w:cstheme="minorHAnsi"/>
          <w:b/>
          <w:color w:val="0070C0"/>
          <w:sz w:val="28"/>
          <w:szCs w:val="28"/>
          <w:lang w:val="en-US"/>
        </w:rPr>
        <w:t>for Action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3143"/>
        <w:gridCol w:w="4086"/>
      </w:tblGrid>
      <w:tr w:rsidR="00D44160" w:rsidRPr="00F06525" w14:paraId="5B9B18E7" w14:textId="77777777" w:rsidTr="00671B9B">
        <w:trPr>
          <w:trHeight w:val="535"/>
        </w:trPr>
        <w:tc>
          <w:tcPr>
            <w:tcW w:w="2972" w:type="dxa"/>
            <w:shd w:val="clear" w:color="auto" w:fill="D9D9D9" w:themeFill="background1" w:themeFillShade="D9"/>
            <w:vAlign w:val="center"/>
          </w:tcPr>
          <w:p w14:paraId="79E8635B" w14:textId="77777777" w:rsidR="00D44160" w:rsidRPr="00EC6AE5" w:rsidRDefault="00D44160" w:rsidP="00690ABF">
            <w:pPr>
              <w:jc w:val="center"/>
              <w:rPr>
                <w:rFonts w:ascii="Calibri" w:hAnsi="Calibri" w:cs="Calibri"/>
                <w:b/>
                <w:bCs/>
                <w:lang w:val="en-US"/>
              </w:rPr>
            </w:pPr>
            <w:r w:rsidRPr="00EC6AE5">
              <w:rPr>
                <w:rFonts w:ascii="Calibri" w:hAnsi="Calibri" w:cs="Calibri"/>
                <w:b/>
                <w:bCs/>
                <w:lang w:val="en-US"/>
              </w:rPr>
              <w:t>Recommendation</w:t>
            </w:r>
          </w:p>
        </w:tc>
        <w:tc>
          <w:tcPr>
            <w:tcW w:w="3143" w:type="dxa"/>
            <w:shd w:val="clear" w:color="auto" w:fill="D9D9D9" w:themeFill="background1" w:themeFillShade="D9"/>
            <w:vAlign w:val="center"/>
          </w:tcPr>
          <w:p w14:paraId="105F3869" w14:textId="77777777" w:rsidR="00690ABF" w:rsidRDefault="00690ABF" w:rsidP="00690ABF">
            <w:pPr>
              <w:jc w:val="center"/>
              <w:rPr>
                <w:rFonts w:ascii="Calibri" w:hAnsi="Calibri" w:cs="Calibri"/>
                <w:b/>
                <w:bCs/>
                <w:lang w:val="en-US"/>
              </w:rPr>
            </w:pPr>
          </w:p>
          <w:p w14:paraId="63389CF5" w14:textId="59B1ADA3" w:rsidR="00D44160" w:rsidRPr="00EC6AE5" w:rsidRDefault="00D44160" w:rsidP="00690ABF">
            <w:pPr>
              <w:jc w:val="center"/>
              <w:rPr>
                <w:rFonts w:ascii="Calibri" w:hAnsi="Calibri" w:cs="Calibri"/>
                <w:b/>
                <w:bCs/>
                <w:lang w:val="en-US"/>
              </w:rPr>
            </w:pPr>
            <w:r w:rsidRPr="00EC6AE5">
              <w:rPr>
                <w:rFonts w:ascii="Calibri" w:hAnsi="Calibri" w:cs="Calibri"/>
                <w:b/>
                <w:bCs/>
                <w:lang w:val="en-US"/>
              </w:rPr>
              <w:t>Proposed Follow-Up</w:t>
            </w:r>
          </w:p>
          <w:p w14:paraId="0DEA496F" w14:textId="50437635" w:rsidR="00D44160" w:rsidRPr="00EC6AE5" w:rsidRDefault="00D44160" w:rsidP="00690ABF">
            <w:pPr>
              <w:jc w:val="center"/>
              <w:rPr>
                <w:rFonts w:ascii="Calibri" w:hAnsi="Calibri" w:cs="Calibri"/>
                <w:b/>
                <w:bCs/>
                <w:iCs/>
                <w:sz w:val="18"/>
                <w:szCs w:val="18"/>
                <w:lang w:val="en-US"/>
              </w:rPr>
            </w:pPr>
          </w:p>
        </w:tc>
        <w:tc>
          <w:tcPr>
            <w:tcW w:w="4086" w:type="dxa"/>
            <w:shd w:val="clear" w:color="auto" w:fill="D9D9D9" w:themeFill="background1" w:themeFillShade="D9"/>
            <w:vAlign w:val="center"/>
          </w:tcPr>
          <w:p w14:paraId="0B65CDF6" w14:textId="3387F38B" w:rsidR="00D44160" w:rsidRPr="00EC6AE5" w:rsidRDefault="00D44160" w:rsidP="00690ABF">
            <w:pPr>
              <w:jc w:val="center"/>
              <w:rPr>
                <w:rFonts w:ascii="Calibri" w:hAnsi="Calibri" w:cs="Calibri"/>
                <w:b/>
                <w:bCs/>
                <w:lang w:val="en-US"/>
              </w:rPr>
            </w:pPr>
            <w:r w:rsidRPr="00EC6AE5">
              <w:rPr>
                <w:rFonts w:ascii="Calibri" w:hAnsi="Calibri" w:cs="Calibri"/>
                <w:b/>
                <w:bCs/>
                <w:lang w:val="en-US"/>
              </w:rPr>
              <w:t>Follow-Up Taken</w:t>
            </w:r>
          </w:p>
        </w:tc>
      </w:tr>
      <w:tr w:rsidR="00D44160" w:rsidRPr="00F06525" w14:paraId="68393A2A" w14:textId="77777777" w:rsidTr="00671B9B">
        <w:tc>
          <w:tcPr>
            <w:tcW w:w="2972" w:type="dxa"/>
            <w:shd w:val="clear" w:color="auto" w:fill="DAE9F7"/>
          </w:tcPr>
          <w:p w14:paraId="68173B25" w14:textId="77777777" w:rsidR="00D44160" w:rsidRPr="00755CE2" w:rsidRDefault="00D44160" w:rsidP="007A0192">
            <w:pPr>
              <w:widowControl w:val="0"/>
              <w:autoSpaceDE w:val="0"/>
              <w:autoSpaceDN w:val="0"/>
              <w:adjustRightInd w:val="0"/>
              <w:rPr>
                <w:rFonts w:ascii="Calibri" w:hAnsi="Calibri" w:cs="Calibri"/>
                <w:b/>
                <w:lang w:val="en-US"/>
              </w:rPr>
            </w:pPr>
            <w:r w:rsidRPr="00755CE2">
              <w:rPr>
                <w:rFonts w:ascii="Calibri" w:hAnsi="Calibri" w:cs="Calibri"/>
                <w:b/>
                <w:lang w:val="en-US"/>
              </w:rPr>
              <w:t>Undergraduate Programs</w:t>
            </w:r>
          </w:p>
        </w:tc>
        <w:tc>
          <w:tcPr>
            <w:tcW w:w="3143" w:type="dxa"/>
            <w:shd w:val="clear" w:color="auto" w:fill="DAE9F7"/>
          </w:tcPr>
          <w:p w14:paraId="5E44E37D" w14:textId="77777777" w:rsidR="00D44160" w:rsidRPr="00F06525" w:rsidRDefault="00D44160" w:rsidP="007A0192">
            <w:pPr>
              <w:widowControl w:val="0"/>
              <w:jc w:val="center"/>
              <w:rPr>
                <w:rFonts w:ascii="Calibri" w:hAnsi="Calibri" w:cs="Calibri"/>
                <w:lang w:val="en-US"/>
              </w:rPr>
            </w:pPr>
          </w:p>
        </w:tc>
        <w:tc>
          <w:tcPr>
            <w:tcW w:w="4086" w:type="dxa"/>
            <w:shd w:val="clear" w:color="auto" w:fill="DAE9F7"/>
          </w:tcPr>
          <w:p w14:paraId="66265935" w14:textId="77777777" w:rsidR="00D44160" w:rsidRPr="00F06525" w:rsidRDefault="00D44160" w:rsidP="007A0192">
            <w:pPr>
              <w:widowControl w:val="0"/>
              <w:rPr>
                <w:rFonts w:ascii="Calibri" w:hAnsi="Calibri" w:cs="Calibri"/>
                <w:lang w:val="en-US"/>
              </w:rPr>
            </w:pPr>
          </w:p>
        </w:tc>
      </w:tr>
      <w:tr w:rsidR="00D44160" w:rsidRPr="00F06525" w14:paraId="01F7F5FF" w14:textId="77777777" w:rsidTr="00671B9B">
        <w:tc>
          <w:tcPr>
            <w:tcW w:w="2972" w:type="dxa"/>
            <w:shd w:val="clear" w:color="auto" w:fill="FFFFFF" w:themeFill="background1"/>
          </w:tcPr>
          <w:p w14:paraId="76795D62" w14:textId="77777777" w:rsidR="00D44160" w:rsidRPr="00F06525" w:rsidRDefault="00D44160" w:rsidP="007A0192">
            <w:pPr>
              <w:widowControl w:val="0"/>
              <w:autoSpaceDE w:val="0"/>
              <w:autoSpaceDN w:val="0"/>
              <w:adjustRightInd w:val="0"/>
              <w:rPr>
                <w:rFonts w:ascii="Calibri" w:hAnsi="Calibri" w:cs="Calibri"/>
                <w:b/>
                <w:bCs/>
                <w:lang w:val="en-US"/>
              </w:rPr>
            </w:pPr>
            <w:r w:rsidRPr="00F06525">
              <w:rPr>
                <w:rFonts w:ascii="Calibri" w:hAnsi="Calibri" w:cs="Calibri"/>
                <w:b/>
                <w:bCs/>
                <w:lang w:val="en-US"/>
              </w:rPr>
              <w:t>Recommendation 1</w:t>
            </w:r>
          </w:p>
          <w:p w14:paraId="290069AC" w14:textId="77777777" w:rsidR="00D44160" w:rsidRPr="00F06525" w:rsidRDefault="00D44160" w:rsidP="007A0192">
            <w:pPr>
              <w:autoSpaceDE w:val="0"/>
              <w:autoSpaceDN w:val="0"/>
              <w:adjustRightInd w:val="0"/>
              <w:rPr>
                <w:rFonts w:ascii="Calibri" w:hAnsi="Calibri" w:cs="Calibri"/>
                <w:bCs/>
              </w:rPr>
            </w:pPr>
            <w:r w:rsidRPr="00F06525">
              <w:rPr>
                <w:rFonts w:ascii="Calibri" w:hAnsi="Calibri" w:cs="Calibri"/>
                <w:bCs/>
              </w:rPr>
              <w:t xml:space="preserve">That the Program/Department finalize planning for </w:t>
            </w:r>
            <w:r w:rsidRPr="00F06525">
              <w:rPr>
                <w:rFonts w:ascii="Calibri" w:hAnsi="Calibri" w:cs="Calibri"/>
                <w:bCs/>
              </w:rPr>
              <w:lastRenderedPageBreak/>
              <w:t>teaching/course offerings on both campuses earlier in the academic cycle to ensure that CUPE instructors can be successfully recruited to teach courses and students have sufficient time to plan academic schedules.</w:t>
            </w:r>
          </w:p>
          <w:p w14:paraId="0FE2A2B6" w14:textId="77777777" w:rsidR="00D44160" w:rsidRPr="00F06525" w:rsidRDefault="00D44160" w:rsidP="007A0192">
            <w:pPr>
              <w:autoSpaceDE w:val="0"/>
              <w:autoSpaceDN w:val="0"/>
              <w:adjustRightInd w:val="0"/>
              <w:rPr>
                <w:rFonts w:ascii="Calibri" w:hAnsi="Calibri" w:cs="Calibri"/>
                <w:bCs/>
                <w:color w:val="E97132"/>
                <w:lang w:val="en-US"/>
              </w:rPr>
            </w:pPr>
          </w:p>
        </w:tc>
        <w:tc>
          <w:tcPr>
            <w:tcW w:w="3143" w:type="dxa"/>
            <w:shd w:val="clear" w:color="auto" w:fill="FFFFFF" w:themeFill="background1"/>
          </w:tcPr>
          <w:p w14:paraId="0488CE94" w14:textId="77777777" w:rsidR="00D44160" w:rsidRPr="00F06525" w:rsidRDefault="00D44160" w:rsidP="007A0192">
            <w:pPr>
              <w:widowControl w:val="0"/>
              <w:rPr>
                <w:rFonts w:ascii="Calibri" w:hAnsi="Calibri" w:cs="Calibri"/>
                <w:lang w:val="en-US"/>
              </w:rPr>
            </w:pPr>
            <w:r w:rsidRPr="00F06525">
              <w:rPr>
                <w:rFonts w:ascii="Calibri" w:hAnsi="Calibri" w:cs="Calibri"/>
                <w:lang w:val="en-US"/>
              </w:rPr>
              <w:lastRenderedPageBreak/>
              <w:t xml:space="preserve">The Program </w:t>
            </w:r>
            <w:r>
              <w:rPr>
                <w:rFonts w:ascii="Calibri" w:hAnsi="Calibri" w:cs="Calibri"/>
                <w:lang w:val="en-US"/>
              </w:rPr>
              <w:t>will</w:t>
            </w:r>
            <w:r w:rsidRPr="00F06525">
              <w:rPr>
                <w:rFonts w:ascii="Calibri" w:hAnsi="Calibri" w:cs="Calibri"/>
                <w:lang w:val="en-US"/>
              </w:rPr>
              <w:t xml:space="preserve"> work closely with their Deans to improve the finalizing planning for teaching </w:t>
            </w:r>
            <w:r w:rsidRPr="00F06525">
              <w:rPr>
                <w:rFonts w:ascii="Calibri" w:hAnsi="Calibri" w:cs="Calibri"/>
                <w:lang w:val="en-US"/>
              </w:rPr>
              <w:lastRenderedPageBreak/>
              <w:t>and course offerings, and subsequent recruitment of CUPE faculty albeit within the processes defined by the Collective Agreement.</w:t>
            </w:r>
          </w:p>
          <w:p w14:paraId="0F69A88F" w14:textId="77777777" w:rsidR="00D44160" w:rsidRPr="00F06525" w:rsidRDefault="00D44160" w:rsidP="007A0192">
            <w:pPr>
              <w:widowControl w:val="0"/>
              <w:rPr>
                <w:rFonts w:ascii="Calibri" w:hAnsi="Calibri" w:cs="Calibri"/>
                <w:lang w:val="en-US"/>
              </w:rPr>
            </w:pPr>
          </w:p>
          <w:p w14:paraId="4760243A" w14:textId="77777777" w:rsidR="00D44160" w:rsidRDefault="00D44160" w:rsidP="007A0192">
            <w:pPr>
              <w:widowControl w:val="0"/>
              <w:rPr>
                <w:rFonts w:ascii="Calibri" w:hAnsi="Calibri" w:cs="Calibri"/>
                <w:lang w:val="en-US"/>
              </w:rPr>
            </w:pPr>
            <w:r w:rsidRPr="00F06525">
              <w:rPr>
                <w:rFonts w:ascii="Calibri" w:hAnsi="Calibri" w:cs="Calibri"/>
                <w:lang w:val="en-US"/>
              </w:rPr>
              <w:t xml:space="preserve">The Implementation Report </w:t>
            </w:r>
            <w:r>
              <w:rPr>
                <w:rFonts w:ascii="Calibri" w:hAnsi="Calibri" w:cs="Calibri"/>
                <w:lang w:val="en-US"/>
              </w:rPr>
              <w:t>will</w:t>
            </w:r>
            <w:r w:rsidRPr="00F06525">
              <w:rPr>
                <w:rFonts w:ascii="Calibri" w:hAnsi="Calibri" w:cs="Calibri"/>
                <w:lang w:val="en-US"/>
              </w:rPr>
              <w:t xml:space="preserve"> provide an update on any progress or processes that have been put in place to streamline/facilitate staffing, planning of courses</w:t>
            </w:r>
            <w:r>
              <w:rPr>
                <w:rFonts w:ascii="Calibri" w:hAnsi="Calibri" w:cs="Calibri"/>
                <w:lang w:val="en-US"/>
              </w:rPr>
              <w:t>,</w:t>
            </w:r>
            <w:r w:rsidRPr="00F06525">
              <w:rPr>
                <w:rFonts w:ascii="Calibri" w:hAnsi="Calibri" w:cs="Calibri"/>
                <w:lang w:val="en-US"/>
              </w:rPr>
              <w:t xml:space="preserve"> and recruitment.</w:t>
            </w:r>
          </w:p>
          <w:p w14:paraId="6374308B" w14:textId="24F594E8" w:rsidR="00723B84" w:rsidRPr="00F06525" w:rsidRDefault="00723B84" w:rsidP="007A0192">
            <w:pPr>
              <w:widowControl w:val="0"/>
              <w:rPr>
                <w:rFonts w:ascii="Calibri" w:hAnsi="Calibri" w:cs="Calibri"/>
                <w:lang w:val="en-US"/>
              </w:rPr>
            </w:pPr>
          </w:p>
        </w:tc>
        <w:tc>
          <w:tcPr>
            <w:tcW w:w="4086" w:type="dxa"/>
            <w:shd w:val="clear" w:color="auto" w:fill="FFFFFF" w:themeFill="background1"/>
          </w:tcPr>
          <w:p w14:paraId="15D73505" w14:textId="3DEE32E3" w:rsidR="00D44160" w:rsidRDefault="00D44160" w:rsidP="007A0192">
            <w:pPr>
              <w:widowControl w:val="0"/>
              <w:rPr>
                <w:rFonts w:ascii="Calibri" w:hAnsi="Calibri" w:cs="Calibri"/>
                <w:lang w:val="en-US"/>
              </w:rPr>
            </w:pPr>
            <w:r>
              <w:rPr>
                <w:rFonts w:ascii="Calibri" w:hAnsi="Calibri" w:cs="Calibri"/>
                <w:lang w:val="en-US"/>
              </w:rPr>
              <w:lastRenderedPageBreak/>
              <w:t xml:space="preserve">Departments do not control budget timelines. </w:t>
            </w:r>
            <w:r w:rsidR="000809B5">
              <w:rPr>
                <w:rFonts w:ascii="Calibri" w:hAnsi="Calibri" w:cs="Calibri"/>
                <w:lang w:val="en-US"/>
              </w:rPr>
              <w:t xml:space="preserve">The Department </w:t>
            </w:r>
            <w:r>
              <w:rPr>
                <w:rFonts w:ascii="Calibri" w:hAnsi="Calibri" w:cs="Calibri"/>
                <w:lang w:val="en-US"/>
              </w:rPr>
              <w:t>already hire</w:t>
            </w:r>
            <w:r w:rsidR="000809B5">
              <w:rPr>
                <w:rFonts w:ascii="Calibri" w:hAnsi="Calibri" w:cs="Calibri"/>
                <w:lang w:val="en-US"/>
              </w:rPr>
              <w:t>s</w:t>
            </w:r>
            <w:r>
              <w:rPr>
                <w:rFonts w:ascii="Calibri" w:hAnsi="Calibri" w:cs="Calibri"/>
                <w:lang w:val="en-US"/>
              </w:rPr>
              <w:t xml:space="preserve"> CUPE 1 faculty as quickly as admin </w:t>
            </w:r>
            <w:r>
              <w:rPr>
                <w:rFonts w:ascii="Calibri" w:hAnsi="Calibri" w:cs="Calibri"/>
                <w:lang w:val="en-US"/>
              </w:rPr>
              <w:lastRenderedPageBreak/>
              <w:t xml:space="preserve">procedures allow. </w:t>
            </w:r>
          </w:p>
          <w:p w14:paraId="3A2B9CA9" w14:textId="77777777" w:rsidR="00D44160" w:rsidRDefault="00D44160" w:rsidP="007A0192">
            <w:pPr>
              <w:widowControl w:val="0"/>
              <w:rPr>
                <w:rFonts w:ascii="Calibri" w:hAnsi="Calibri" w:cs="Calibri"/>
                <w:lang w:val="en-US"/>
              </w:rPr>
            </w:pPr>
          </w:p>
          <w:p w14:paraId="65BB080B" w14:textId="2696F839" w:rsidR="00D44160" w:rsidRDefault="00D44160" w:rsidP="007A0192">
            <w:pPr>
              <w:widowControl w:val="0"/>
              <w:rPr>
                <w:rFonts w:ascii="Calibri" w:hAnsi="Calibri" w:cs="Calibri"/>
                <w:lang w:val="en-US"/>
              </w:rPr>
            </w:pPr>
            <w:r>
              <w:rPr>
                <w:rFonts w:ascii="Calibri" w:hAnsi="Calibri" w:cs="Calibri"/>
                <w:lang w:val="en-US"/>
              </w:rPr>
              <w:t>In May 2024, majors and joint majors received a list of ANTH 2024-25 course offerings, well before the registration period. The list indicated the term, campus, and format of each course.</w:t>
            </w:r>
          </w:p>
          <w:p w14:paraId="2412D812" w14:textId="010BBBAD" w:rsidR="00D44160" w:rsidRPr="00F06525" w:rsidRDefault="00D44160" w:rsidP="007A0192">
            <w:pPr>
              <w:widowControl w:val="0"/>
              <w:rPr>
                <w:rFonts w:ascii="Calibri" w:hAnsi="Calibri" w:cs="Calibri"/>
                <w:lang w:val="en-US"/>
              </w:rPr>
            </w:pPr>
          </w:p>
        </w:tc>
      </w:tr>
      <w:tr w:rsidR="00D44160" w:rsidRPr="00F06525" w14:paraId="46CC4772" w14:textId="77777777" w:rsidTr="00671B9B">
        <w:tc>
          <w:tcPr>
            <w:tcW w:w="2972" w:type="dxa"/>
            <w:shd w:val="clear" w:color="auto" w:fill="FFFFFF" w:themeFill="background1"/>
          </w:tcPr>
          <w:p w14:paraId="20A4E7BE" w14:textId="77777777" w:rsidR="00D44160" w:rsidRPr="00F06525" w:rsidRDefault="00D44160" w:rsidP="007A0192">
            <w:pPr>
              <w:widowControl w:val="0"/>
              <w:autoSpaceDE w:val="0"/>
              <w:autoSpaceDN w:val="0"/>
              <w:adjustRightInd w:val="0"/>
              <w:rPr>
                <w:rFonts w:ascii="Calibri" w:hAnsi="Calibri" w:cs="Calibri"/>
                <w:b/>
                <w:bCs/>
                <w:lang w:val="en-US"/>
              </w:rPr>
            </w:pPr>
            <w:r w:rsidRPr="00F06525">
              <w:rPr>
                <w:rFonts w:ascii="Calibri" w:hAnsi="Calibri" w:cs="Calibri"/>
                <w:b/>
                <w:bCs/>
                <w:lang w:val="en-US"/>
              </w:rPr>
              <w:lastRenderedPageBreak/>
              <w:t>Recommendation 2</w:t>
            </w:r>
          </w:p>
          <w:p w14:paraId="715B2F07" w14:textId="77777777" w:rsidR="00D44160" w:rsidRDefault="00D44160" w:rsidP="007A0192">
            <w:pPr>
              <w:autoSpaceDE w:val="0"/>
              <w:autoSpaceDN w:val="0"/>
              <w:adjustRightInd w:val="0"/>
              <w:rPr>
                <w:rFonts w:ascii="Calibri" w:hAnsi="Calibri" w:cs="Calibri"/>
                <w:bCs/>
              </w:rPr>
            </w:pPr>
            <w:r w:rsidRPr="00F06525">
              <w:rPr>
                <w:rFonts w:ascii="Calibri" w:hAnsi="Calibri" w:cs="Calibri"/>
                <w:bCs/>
              </w:rPr>
              <w:t>That the Program/Department ensure that students at both campuses can complete their degrees in a timely manner.</w:t>
            </w:r>
          </w:p>
          <w:p w14:paraId="0F81F359" w14:textId="77777777" w:rsidR="00D44160" w:rsidRPr="00F06525" w:rsidRDefault="00D44160" w:rsidP="007A0192">
            <w:pPr>
              <w:autoSpaceDE w:val="0"/>
              <w:autoSpaceDN w:val="0"/>
              <w:adjustRightInd w:val="0"/>
              <w:rPr>
                <w:rFonts w:ascii="Calibri" w:hAnsi="Calibri" w:cs="Calibri"/>
                <w:bCs/>
              </w:rPr>
            </w:pPr>
          </w:p>
          <w:p w14:paraId="52280991" w14:textId="69233F8F" w:rsidR="00D44160" w:rsidRPr="00F06525" w:rsidRDefault="00D44160" w:rsidP="00914748">
            <w:pPr>
              <w:numPr>
                <w:ilvl w:val="0"/>
                <w:numId w:val="16"/>
              </w:numPr>
              <w:autoSpaceDE w:val="0"/>
              <w:autoSpaceDN w:val="0"/>
              <w:adjustRightInd w:val="0"/>
              <w:ind w:left="339" w:hanging="270"/>
              <w:rPr>
                <w:rFonts w:ascii="Calibri" w:hAnsi="Calibri" w:cs="Calibri"/>
                <w:bCs/>
              </w:rPr>
            </w:pPr>
            <w:r w:rsidRPr="00F06525">
              <w:rPr>
                <w:rFonts w:ascii="Calibri" w:hAnsi="Calibri" w:cs="Calibri"/>
                <w:bCs/>
              </w:rPr>
              <w:t>Reserve seats for ANTH/ARCH majors in required courses</w:t>
            </w:r>
            <w:r w:rsidR="00723B84">
              <w:rPr>
                <w:rFonts w:ascii="Calibri" w:hAnsi="Calibri" w:cs="Calibri"/>
                <w:bCs/>
              </w:rPr>
              <w:t>.</w:t>
            </w:r>
          </w:p>
          <w:p w14:paraId="6503DA69" w14:textId="084A4DEF" w:rsidR="00D44160" w:rsidRPr="00F06525" w:rsidRDefault="00D44160" w:rsidP="00914748">
            <w:pPr>
              <w:numPr>
                <w:ilvl w:val="0"/>
                <w:numId w:val="16"/>
              </w:numPr>
              <w:autoSpaceDE w:val="0"/>
              <w:autoSpaceDN w:val="0"/>
              <w:adjustRightInd w:val="0"/>
              <w:ind w:left="339" w:hanging="270"/>
              <w:rPr>
                <w:rFonts w:ascii="Calibri" w:hAnsi="Calibri" w:cs="Calibri"/>
                <w:bCs/>
              </w:rPr>
            </w:pPr>
            <w:r w:rsidRPr="00F06525">
              <w:rPr>
                <w:rFonts w:ascii="Calibri" w:hAnsi="Calibri" w:cs="Calibri"/>
                <w:bCs/>
              </w:rPr>
              <w:t>Explore options for greater use of hybrid/</w:t>
            </w:r>
            <w:r w:rsidR="000809B5">
              <w:rPr>
                <w:rFonts w:ascii="Calibri" w:hAnsi="Calibri" w:cs="Calibri"/>
                <w:bCs/>
              </w:rPr>
              <w:t xml:space="preserve"> </w:t>
            </w:r>
            <w:r w:rsidRPr="00F06525">
              <w:rPr>
                <w:rFonts w:ascii="Calibri" w:hAnsi="Calibri" w:cs="Calibri"/>
                <w:bCs/>
              </w:rPr>
              <w:t>asynchronous teaching without sacrificing in</w:t>
            </w:r>
            <w:r w:rsidRPr="00F06525">
              <w:rPr>
                <w:rFonts w:ascii="Calibri" w:hAnsi="Calibri" w:cs="Calibri"/>
              </w:rPr>
              <w:t xml:space="preserve"> </w:t>
            </w:r>
            <w:r w:rsidR="000809B5">
              <w:rPr>
                <w:rFonts w:ascii="Calibri" w:hAnsi="Calibri" w:cs="Calibri"/>
                <w:bCs/>
              </w:rPr>
              <w:t>person/</w:t>
            </w:r>
            <w:r w:rsidRPr="00F06525">
              <w:rPr>
                <w:rFonts w:ascii="Calibri" w:hAnsi="Calibri" w:cs="Calibri"/>
                <w:bCs/>
              </w:rPr>
              <w:t>hands on lab components</w:t>
            </w:r>
            <w:r w:rsidR="00723B84">
              <w:rPr>
                <w:rFonts w:ascii="Calibri" w:hAnsi="Calibri" w:cs="Calibri"/>
                <w:bCs/>
              </w:rPr>
              <w:t>.</w:t>
            </w:r>
          </w:p>
          <w:p w14:paraId="5FDEED12" w14:textId="259C7C67" w:rsidR="00D44160" w:rsidRPr="00F06525" w:rsidRDefault="00D44160" w:rsidP="00914748">
            <w:pPr>
              <w:numPr>
                <w:ilvl w:val="0"/>
                <w:numId w:val="16"/>
              </w:numPr>
              <w:autoSpaceDE w:val="0"/>
              <w:autoSpaceDN w:val="0"/>
              <w:adjustRightInd w:val="0"/>
              <w:ind w:left="339" w:hanging="270"/>
              <w:rPr>
                <w:rFonts w:ascii="Calibri" w:hAnsi="Calibri" w:cs="Calibri"/>
                <w:bCs/>
              </w:rPr>
            </w:pPr>
            <w:r w:rsidRPr="00F06525">
              <w:rPr>
                <w:rFonts w:ascii="Calibri" w:hAnsi="Calibri" w:cs="Calibri"/>
                <w:bCs/>
              </w:rPr>
              <w:t>Clarify early in each academic cycle which courses will be offered in Peterborough vs Durham and whether hybrid/</w:t>
            </w:r>
            <w:r>
              <w:rPr>
                <w:rFonts w:ascii="Calibri" w:hAnsi="Calibri" w:cs="Calibri"/>
                <w:bCs/>
              </w:rPr>
              <w:t xml:space="preserve"> </w:t>
            </w:r>
            <w:r w:rsidRPr="00F06525">
              <w:rPr>
                <w:rFonts w:ascii="Calibri" w:hAnsi="Calibri" w:cs="Calibri"/>
                <w:bCs/>
              </w:rPr>
              <w:t>online options will be available</w:t>
            </w:r>
            <w:r w:rsidR="00723B84">
              <w:rPr>
                <w:rFonts w:ascii="Calibri" w:hAnsi="Calibri" w:cs="Calibri"/>
                <w:bCs/>
              </w:rPr>
              <w:t>.</w:t>
            </w:r>
          </w:p>
          <w:p w14:paraId="0639C035" w14:textId="77777777" w:rsidR="00D44160" w:rsidRPr="00F06525" w:rsidRDefault="00D44160" w:rsidP="007A0192">
            <w:pPr>
              <w:autoSpaceDE w:val="0"/>
              <w:autoSpaceDN w:val="0"/>
              <w:adjustRightInd w:val="0"/>
              <w:rPr>
                <w:rFonts w:ascii="Calibri" w:eastAsia="Calibri" w:hAnsi="Calibri" w:cs="Calibri"/>
                <w:color w:val="E97132"/>
                <w:lang w:val="en-US"/>
              </w:rPr>
            </w:pPr>
          </w:p>
        </w:tc>
        <w:tc>
          <w:tcPr>
            <w:tcW w:w="3143" w:type="dxa"/>
            <w:shd w:val="clear" w:color="auto" w:fill="FFFFFF" w:themeFill="background1"/>
          </w:tcPr>
          <w:p w14:paraId="708F5D9C" w14:textId="77777777" w:rsidR="00D44160" w:rsidRPr="00F06525" w:rsidRDefault="00D44160" w:rsidP="007A0192">
            <w:pPr>
              <w:widowControl w:val="0"/>
              <w:rPr>
                <w:rFonts w:ascii="Calibri" w:hAnsi="Calibri" w:cs="Calibri"/>
                <w:lang w:val="en-US"/>
              </w:rPr>
            </w:pPr>
            <w:r w:rsidRPr="00F06525">
              <w:rPr>
                <w:rFonts w:ascii="Calibri" w:hAnsi="Calibri" w:cs="Calibri"/>
                <w:lang w:val="en-US"/>
              </w:rPr>
              <w:t xml:space="preserve">The Implementation Plan will provide further updates on progress made to ensure students can complete their degrees in a timely manner. Specifically:  </w:t>
            </w:r>
          </w:p>
          <w:p w14:paraId="470717E4" w14:textId="77777777" w:rsidR="00D44160" w:rsidRPr="00F06525" w:rsidRDefault="00D44160" w:rsidP="007A0192">
            <w:pPr>
              <w:widowControl w:val="0"/>
              <w:rPr>
                <w:rFonts w:ascii="Calibri" w:hAnsi="Calibri" w:cs="Calibri"/>
                <w:lang w:val="en-US"/>
              </w:rPr>
            </w:pPr>
          </w:p>
          <w:p w14:paraId="207E67DD" w14:textId="4885E40F" w:rsidR="00D44160" w:rsidRPr="00063ABF" w:rsidRDefault="00D44160" w:rsidP="00063ABF">
            <w:pPr>
              <w:widowControl w:val="0"/>
              <w:numPr>
                <w:ilvl w:val="0"/>
                <w:numId w:val="18"/>
              </w:numPr>
              <w:ind w:left="343"/>
              <w:contextualSpacing/>
              <w:rPr>
                <w:rFonts w:ascii="Calibri" w:hAnsi="Calibri" w:cs="Calibri"/>
                <w:lang w:val="en-US"/>
              </w:rPr>
            </w:pPr>
            <w:r w:rsidRPr="00F06525">
              <w:rPr>
                <w:rFonts w:ascii="Calibri" w:hAnsi="Calibri" w:cs="Calibri"/>
                <w:lang w:val="en-US"/>
              </w:rPr>
              <w:t xml:space="preserve">The Program </w:t>
            </w:r>
            <w:r>
              <w:rPr>
                <w:rFonts w:ascii="Calibri" w:hAnsi="Calibri" w:cs="Calibri"/>
                <w:lang w:val="en-US"/>
              </w:rPr>
              <w:t xml:space="preserve">will </w:t>
            </w:r>
            <w:r w:rsidRPr="00F06525">
              <w:rPr>
                <w:rFonts w:ascii="Calibri" w:hAnsi="Calibri" w:cs="Calibri"/>
                <w:lang w:val="en-US"/>
              </w:rPr>
              <w:t>work with the University Registrar on ensuring adequate seats are available for student majors.</w:t>
            </w:r>
          </w:p>
          <w:p w14:paraId="778EC5F4" w14:textId="6CFDF9A5" w:rsidR="00D44160" w:rsidRPr="00063ABF" w:rsidRDefault="00D44160" w:rsidP="00063ABF">
            <w:pPr>
              <w:widowControl w:val="0"/>
              <w:numPr>
                <w:ilvl w:val="0"/>
                <w:numId w:val="18"/>
              </w:numPr>
              <w:ind w:left="343"/>
              <w:contextualSpacing/>
              <w:rPr>
                <w:rFonts w:ascii="Calibri" w:hAnsi="Calibri" w:cs="Calibri"/>
                <w:lang w:val="en-US"/>
              </w:rPr>
            </w:pPr>
            <w:r w:rsidRPr="00F06525">
              <w:rPr>
                <w:rFonts w:ascii="Calibri" w:hAnsi="Calibri" w:cs="Calibri"/>
                <w:lang w:val="en-US"/>
              </w:rPr>
              <w:t>Recognizing that Durham may not have the same facilities as Peterborough, the Department is encouraged to continue to explore opportunities to offer students in Durham similar experiences.</w:t>
            </w:r>
          </w:p>
          <w:p w14:paraId="48BB9850" w14:textId="77777777" w:rsidR="00D44160" w:rsidRDefault="00D44160" w:rsidP="00914748">
            <w:pPr>
              <w:widowControl w:val="0"/>
              <w:numPr>
                <w:ilvl w:val="0"/>
                <w:numId w:val="18"/>
              </w:numPr>
              <w:ind w:left="346"/>
              <w:contextualSpacing/>
              <w:rPr>
                <w:rFonts w:ascii="Calibri" w:hAnsi="Calibri" w:cs="Calibri"/>
                <w:lang w:val="en-US"/>
              </w:rPr>
            </w:pPr>
            <w:r w:rsidRPr="00F06525">
              <w:rPr>
                <w:rFonts w:ascii="Calibri" w:hAnsi="Calibri" w:cs="Calibri"/>
                <w:lang w:val="en-US"/>
              </w:rPr>
              <w:t xml:space="preserve">The Department should continue to work on staffing plans and the scheduling of </w:t>
            </w:r>
            <w:proofErr w:type="gramStart"/>
            <w:r w:rsidRPr="00F06525">
              <w:rPr>
                <w:rFonts w:ascii="Calibri" w:hAnsi="Calibri" w:cs="Calibri"/>
                <w:lang w:val="en-US"/>
              </w:rPr>
              <w:t>courses, and</w:t>
            </w:r>
            <w:proofErr w:type="gramEnd"/>
            <w:r w:rsidRPr="00F06525">
              <w:rPr>
                <w:rFonts w:ascii="Calibri" w:hAnsi="Calibri" w:cs="Calibri"/>
                <w:lang w:val="en-US"/>
              </w:rPr>
              <w:t xml:space="preserve"> communicating this to their students at the earliest opportunity.</w:t>
            </w:r>
          </w:p>
          <w:p w14:paraId="3B4D2AFC" w14:textId="77777777" w:rsidR="00E7582C" w:rsidRPr="00F06525" w:rsidRDefault="00E7582C" w:rsidP="00E7582C">
            <w:pPr>
              <w:widowControl w:val="0"/>
              <w:ind w:left="346"/>
              <w:contextualSpacing/>
              <w:rPr>
                <w:rFonts w:ascii="Calibri" w:hAnsi="Calibri" w:cs="Calibri"/>
                <w:lang w:val="en-US"/>
              </w:rPr>
            </w:pPr>
          </w:p>
        </w:tc>
        <w:tc>
          <w:tcPr>
            <w:tcW w:w="4086" w:type="dxa"/>
            <w:shd w:val="clear" w:color="auto" w:fill="FFFFFF" w:themeFill="background1"/>
          </w:tcPr>
          <w:p w14:paraId="520DF63C" w14:textId="24CF6F8F" w:rsidR="00D44160" w:rsidRDefault="00D44160" w:rsidP="007A0192">
            <w:pPr>
              <w:pStyle w:val="ListParagraph"/>
              <w:widowControl w:val="0"/>
              <w:numPr>
                <w:ilvl w:val="0"/>
                <w:numId w:val="20"/>
              </w:numPr>
              <w:tabs>
                <w:tab w:val="left" w:pos="223"/>
              </w:tabs>
              <w:ind w:left="0" w:hanging="37"/>
              <w:rPr>
                <w:rFonts w:ascii="Calibri" w:hAnsi="Calibri" w:cs="Calibri"/>
                <w:lang w:val="en-US"/>
              </w:rPr>
            </w:pPr>
            <w:r w:rsidRPr="00C656C7">
              <w:rPr>
                <w:rFonts w:ascii="Calibri" w:hAnsi="Calibri" w:cs="Calibri"/>
                <w:lang w:val="en-US"/>
              </w:rPr>
              <w:t xml:space="preserve">In June 2024, priority registration was limited to majors. </w:t>
            </w:r>
            <w:r w:rsidRPr="00063ABF">
              <w:rPr>
                <w:rFonts w:ascii="Calibri" w:hAnsi="Calibri" w:cs="Calibri"/>
                <w:lang w:val="en-US"/>
              </w:rPr>
              <w:t>Non-major students signed up for courses in other programs, rather than waiting to sign up after the priority period, which resulted in lower enrolments. Other solutions are being explored.</w:t>
            </w:r>
          </w:p>
          <w:p w14:paraId="44F78043" w14:textId="77777777" w:rsidR="000809B5" w:rsidRPr="00063ABF" w:rsidRDefault="000809B5" w:rsidP="000809B5">
            <w:pPr>
              <w:pStyle w:val="ListParagraph"/>
              <w:widowControl w:val="0"/>
              <w:tabs>
                <w:tab w:val="left" w:pos="223"/>
              </w:tabs>
              <w:ind w:left="0"/>
              <w:rPr>
                <w:rFonts w:ascii="Calibri" w:hAnsi="Calibri" w:cs="Calibri"/>
                <w:lang w:val="en-US"/>
              </w:rPr>
            </w:pPr>
          </w:p>
          <w:p w14:paraId="798BA124" w14:textId="536B196A" w:rsidR="00D44160" w:rsidRDefault="00D44160" w:rsidP="007A0192">
            <w:pPr>
              <w:widowControl w:val="0"/>
              <w:rPr>
                <w:rFonts w:ascii="Calibri" w:hAnsi="Calibri" w:cs="Calibri"/>
                <w:lang w:val="en-US"/>
              </w:rPr>
            </w:pPr>
            <w:r>
              <w:rPr>
                <w:rFonts w:ascii="Calibri" w:hAnsi="Calibri" w:cs="Calibri"/>
                <w:lang w:val="en-US"/>
              </w:rPr>
              <w:t>b) Durham now has a three-year LTA in biological ANTH, enabling operation of the full ANTH BA</w:t>
            </w:r>
            <w:r w:rsidR="000809B5">
              <w:rPr>
                <w:rFonts w:ascii="Calibri" w:hAnsi="Calibri" w:cs="Calibri"/>
                <w:lang w:val="en-US"/>
              </w:rPr>
              <w:t xml:space="preserve"> in Durham</w:t>
            </w:r>
            <w:r>
              <w:rPr>
                <w:rFonts w:ascii="Calibri" w:hAnsi="Calibri" w:cs="Calibri"/>
                <w:lang w:val="en-US"/>
              </w:rPr>
              <w:t xml:space="preserve">. </w:t>
            </w:r>
            <w:r w:rsidR="000809B5">
              <w:rPr>
                <w:rFonts w:ascii="Calibri" w:hAnsi="Calibri" w:cs="Calibri"/>
                <w:lang w:val="en-US"/>
              </w:rPr>
              <w:t>Funds from the operating budget have been used to invest in</w:t>
            </w:r>
            <w:r>
              <w:rPr>
                <w:rFonts w:ascii="Calibri" w:hAnsi="Calibri" w:cs="Calibri"/>
                <w:lang w:val="en-US"/>
              </w:rPr>
              <w:t xml:space="preserve"> teaching collections for Durham courses.</w:t>
            </w:r>
          </w:p>
          <w:p w14:paraId="37C0D19B" w14:textId="77777777" w:rsidR="000809B5" w:rsidRDefault="000809B5" w:rsidP="007A0192">
            <w:pPr>
              <w:widowControl w:val="0"/>
              <w:rPr>
                <w:rFonts w:ascii="Calibri" w:hAnsi="Calibri" w:cs="Calibri"/>
                <w:lang w:val="en-US"/>
              </w:rPr>
            </w:pPr>
          </w:p>
          <w:p w14:paraId="7A38484A" w14:textId="6CD18A46" w:rsidR="00D44160" w:rsidRDefault="00D44160" w:rsidP="007A0192">
            <w:pPr>
              <w:widowControl w:val="0"/>
              <w:rPr>
                <w:rFonts w:ascii="Calibri" w:hAnsi="Calibri" w:cs="Calibri"/>
                <w:lang w:val="en-US"/>
              </w:rPr>
            </w:pPr>
            <w:r>
              <w:rPr>
                <w:rFonts w:ascii="Calibri" w:hAnsi="Calibri" w:cs="Calibri"/>
                <w:lang w:val="en-US"/>
              </w:rPr>
              <w:t xml:space="preserve">c) </w:t>
            </w:r>
            <w:r w:rsidR="000809B5">
              <w:rPr>
                <w:rFonts w:ascii="Calibri" w:hAnsi="Calibri" w:cs="Calibri"/>
                <w:lang w:val="en-US"/>
              </w:rPr>
              <w:t>For 2024-25, a list of courses to be offered was released to students well before the registrations period (see</w:t>
            </w:r>
            <w:r>
              <w:rPr>
                <w:rFonts w:ascii="Calibri" w:hAnsi="Calibri" w:cs="Calibri"/>
                <w:lang w:val="en-US"/>
              </w:rPr>
              <w:t xml:space="preserve"> Recommendation 1</w:t>
            </w:r>
            <w:r w:rsidR="000809B5">
              <w:rPr>
                <w:rFonts w:ascii="Calibri" w:hAnsi="Calibri" w:cs="Calibri"/>
                <w:lang w:val="en-US"/>
              </w:rPr>
              <w:t>)</w:t>
            </w:r>
            <w:r>
              <w:rPr>
                <w:rFonts w:ascii="Calibri" w:hAnsi="Calibri" w:cs="Calibri"/>
                <w:lang w:val="en-US"/>
              </w:rPr>
              <w:t>.</w:t>
            </w:r>
          </w:p>
          <w:p w14:paraId="5D19EDFF" w14:textId="4F53F520" w:rsidR="00D44160" w:rsidRPr="00F06525" w:rsidRDefault="00D44160" w:rsidP="007A0192">
            <w:pPr>
              <w:widowControl w:val="0"/>
              <w:rPr>
                <w:rFonts w:ascii="Calibri" w:hAnsi="Calibri" w:cs="Calibri"/>
                <w:lang w:val="en-US"/>
              </w:rPr>
            </w:pPr>
          </w:p>
        </w:tc>
      </w:tr>
      <w:tr w:rsidR="00D44160" w:rsidRPr="00F06525" w14:paraId="7DF25AC6" w14:textId="77777777" w:rsidTr="00671B9B">
        <w:tc>
          <w:tcPr>
            <w:tcW w:w="2972" w:type="dxa"/>
            <w:shd w:val="clear" w:color="auto" w:fill="auto"/>
          </w:tcPr>
          <w:p w14:paraId="1298B756" w14:textId="77777777" w:rsidR="00D44160" w:rsidRPr="00F06525" w:rsidRDefault="00D44160" w:rsidP="007A0192">
            <w:pPr>
              <w:widowControl w:val="0"/>
              <w:autoSpaceDE w:val="0"/>
              <w:autoSpaceDN w:val="0"/>
              <w:adjustRightInd w:val="0"/>
              <w:rPr>
                <w:rFonts w:ascii="Calibri" w:hAnsi="Calibri" w:cs="Calibri"/>
                <w:b/>
                <w:bCs/>
                <w:lang w:val="en-US"/>
              </w:rPr>
            </w:pPr>
            <w:r w:rsidRPr="00F06525">
              <w:rPr>
                <w:rFonts w:ascii="Calibri" w:hAnsi="Calibri" w:cs="Calibri"/>
                <w:b/>
                <w:bCs/>
                <w:lang w:val="en-US"/>
              </w:rPr>
              <w:t>Recommendation 8</w:t>
            </w:r>
          </w:p>
          <w:p w14:paraId="07BE1638" w14:textId="77777777" w:rsidR="00D44160" w:rsidRPr="00F06525" w:rsidRDefault="00D44160" w:rsidP="007A0192">
            <w:pPr>
              <w:autoSpaceDE w:val="0"/>
              <w:autoSpaceDN w:val="0"/>
              <w:adjustRightInd w:val="0"/>
              <w:rPr>
                <w:rFonts w:ascii="Calibri" w:hAnsi="Calibri" w:cs="Calibri"/>
                <w:bCs/>
              </w:rPr>
            </w:pPr>
            <w:r w:rsidRPr="00F06525">
              <w:rPr>
                <w:rFonts w:ascii="Calibri" w:hAnsi="Calibri" w:cs="Calibri"/>
                <w:bCs/>
              </w:rPr>
              <w:t>That the Program consider adding existing or new ANTH</w:t>
            </w:r>
            <w:r w:rsidRPr="00F06525">
              <w:rPr>
                <w:rFonts w:ascii="Calibri" w:hAnsi="Calibri" w:cs="Calibri"/>
              </w:rPr>
              <w:t xml:space="preserve"> </w:t>
            </w:r>
            <w:r w:rsidRPr="00F06525">
              <w:rPr>
                <w:rFonts w:ascii="Calibri" w:hAnsi="Calibri" w:cs="Calibri"/>
                <w:bCs/>
              </w:rPr>
              <w:t>or ARCH courses to the university’s Indigenous Course Requirement list.</w:t>
            </w:r>
          </w:p>
          <w:p w14:paraId="226709C2" w14:textId="77777777" w:rsidR="00D44160" w:rsidRPr="00F06525" w:rsidRDefault="00D44160" w:rsidP="007A0192">
            <w:pPr>
              <w:widowControl w:val="0"/>
              <w:autoSpaceDE w:val="0"/>
              <w:autoSpaceDN w:val="0"/>
              <w:adjustRightInd w:val="0"/>
              <w:rPr>
                <w:rFonts w:ascii="Calibri" w:hAnsi="Calibri" w:cs="Calibri"/>
                <w:bCs/>
                <w:lang w:val="en-US"/>
              </w:rPr>
            </w:pPr>
          </w:p>
        </w:tc>
        <w:tc>
          <w:tcPr>
            <w:tcW w:w="3143" w:type="dxa"/>
            <w:shd w:val="clear" w:color="auto" w:fill="auto"/>
          </w:tcPr>
          <w:p w14:paraId="65EE1FC8" w14:textId="77777777" w:rsidR="00D44160" w:rsidRPr="00F06525" w:rsidRDefault="00D44160" w:rsidP="007A0192">
            <w:pPr>
              <w:widowControl w:val="0"/>
              <w:rPr>
                <w:rFonts w:ascii="Calibri" w:hAnsi="Calibri" w:cs="Calibri"/>
                <w:lang w:val="en-US"/>
              </w:rPr>
            </w:pPr>
            <w:r w:rsidRPr="00F06525">
              <w:rPr>
                <w:rFonts w:ascii="Calibri" w:hAnsi="Calibri" w:cs="Calibri"/>
                <w:lang w:val="en-US"/>
              </w:rPr>
              <w:t xml:space="preserve">The Department is encouraged to submit existing courses for </w:t>
            </w:r>
            <w:r>
              <w:rPr>
                <w:rFonts w:ascii="Calibri" w:hAnsi="Calibri" w:cs="Calibri"/>
                <w:lang w:val="en-US"/>
              </w:rPr>
              <w:t>review to be considered for inclusion</w:t>
            </w:r>
            <w:r w:rsidRPr="00F06525">
              <w:rPr>
                <w:rFonts w:ascii="Calibri" w:hAnsi="Calibri" w:cs="Calibri"/>
                <w:lang w:val="en-US"/>
              </w:rPr>
              <w:t xml:space="preserve"> in the ICR list.</w:t>
            </w:r>
          </w:p>
          <w:p w14:paraId="7B46205B" w14:textId="77777777" w:rsidR="00D44160" w:rsidRPr="00F06525" w:rsidRDefault="00D44160" w:rsidP="007A0192">
            <w:pPr>
              <w:widowControl w:val="0"/>
              <w:rPr>
                <w:rFonts w:ascii="Calibri" w:hAnsi="Calibri" w:cs="Calibri"/>
                <w:lang w:val="en-US"/>
              </w:rPr>
            </w:pPr>
          </w:p>
          <w:p w14:paraId="04A92CAB" w14:textId="77777777" w:rsidR="00D44160" w:rsidRDefault="00D44160" w:rsidP="007A0192">
            <w:pPr>
              <w:widowControl w:val="0"/>
              <w:rPr>
                <w:rFonts w:ascii="Calibri" w:hAnsi="Calibri" w:cs="Calibri"/>
                <w:lang w:val="en-US"/>
              </w:rPr>
            </w:pPr>
            <w:r w:rsidRPr="00F06525">
              <w:rPr>
                <w:rFonts w:ascii="Calibri" w:hAnsi="Calibri" w:cs="Calibri"/>
                <w:lang w:val="en-US"/>
              </w:rPr>
              <w:t xml:space="preserve">The Implementation Plan </w:t>
            </w:r>
            <w:r>
              <w:rPr>
                <w:rFonts w:ascii="Calibri" w:hAnsi="Calibri" w:cs="Calibri"/>
                <w:lang w:val="en-US"/>
              </w:rPr>
              <w:t>will</w:t>
            </w:r>
            <w:r w:rsidRPr="00F06525">
              <w:rPr>
                <w:rFonts w:ascii="Calibri" w:hAnsi="Calibri" w:cs="Calibri"/>
                <w:lang w:val="en-US"/>
              </w:rPr>
              <w:t xml:space="preserve"> provide an update.</w:t>
            </w:r>
          </w:p>
          <w:p w14:paraId="4C54480E" w14:textId="77777777" w:rsidR="00723B84" w:rsidRPr="00F06525" w:rsidRDefault="00723B84" w:rsidP="007A0192">
            <w:pPr>
              <w:widowControl w:val="0"/>
              <w:rPr>
                <w:rFonts w:ascii="Calibri" w:hAnsi="Calibri" w:cs="Calibri"/>
                <w:lang w:val="en-US"/>
              </w:rPr>
            </w:pPr>
          </w:p>
        </w:tc>
        <w:tc>
          <w:tcPr>
            <w:tcW w:w="4086" w:type="dxa"/>
            <w:shd w:val="clear" w:color="auto" w:fill="auto"/>
          </w:tcPr>
          <w:p w14:paraId="31C8884A" w14:textId="429BF58E" w:rsidR="00D44160" w:rsidRDefault="00D44160" w:rsidP="007A0192">
            <w:pPr>
              <w:widowControl w:val="0"/>
              <w:rPr>
                <w:rFonts w:ascii="Calibri" w:hAnsi="Calibri" w:cs="Calibri"/>
                <w:lang w:val="en-US"/>
              </w:rPr>
            </w:pPr>
            <w:r>
              <w:rPr>
                <w:rFonts w:ascii="Calibri" w:hAnsi="Calibri" w:cs="Calibri"/>
                <w:lang w:val="en-US"/>
              </w:rPr>
              <w:t xml:space="preserve">While many ANTH courses contain Indigenous content, they do not have that sole focus. Creating an ICR course depends on </w:t>
            </w:r>
            <w:r w:rsidR="000809B5">
              <w:rPr>
                <w:rFonts w:ascii="Calibri" w:hAnsi="Calibri" w:cs="Calibri"/>
                <w:lang w:val="en-US"/>
              </w:rPr>
              <w:t>prioritizing faculty hires in this area (see</w:t>
            </w:r>
            <w:r>
              <w:rPr>
                <w:rFonts w:ascii="Calibri" w:hAnsi="Calibri" w:cs="Calibri"/>
                <w:lang w:val="en-US"/>
              </w:rPr>
              <w:t xml:space="preserve"> Recommendation 9</w:t>
            </w:r>
            <w:r w:rsidR="000809B5">
              <w:rPr>
                <w:rFonts w:ascii="Calibri" w:hAnsi="Calibri" w:cs="Calibri"/>
                <w:lang w:val="en-US"/>
              </w:rPr>
              <w:t>)</w:t>
            </w:r>
            <w:r>
              <w:rPr>
                <w:rFonts w:ascii="Calibri" w:hAnsi="Calibri" w:cs="Calibri"/>
                <w:lang w:val="en-US"/>
              </w:rPr>
              <w:t>.</w:t>
            </w:r>
          </w:p>
          <w:p w14:paraId="09402C5B" w14:textId="2F574E0C" w:rsidR="00D44160" w:rsidRPr="00F06525" w:rsidRDefault="00D44160" w:rsidP="007A0192">
            <w:pPr>
              <w:widowControl w:val="0"/>
              <w:rPr>
                <w:rFonts w:ascii="Calibri" w:hAnsi="Calibri" w:cs="Calibri"/>
                <w:lang w:val="en-US"/>
              </w:rPr>
            </w:pPr>
          </w:p>
        </w:tc>
      </w:tr>
      <w:tr w:rsidR="00D44160" w:rsidRPr="00F06525" w14:paraId="695DB99E" w14:textId="77777777" w:rsidTr="00671B9B">
        <w:tc>
          <w:tcPr>
            <w:tcW w:w="2972" w:type="dxa"/>
            <w:shd w:val="clear" w:color="auto" w:fill="DAE9F7"/>
          </w:tcPr>
          <w:p w14:paraId="55915537" w14:textId="77777777" w:rsidR="00D44160" w:rsidRPr="00755CE2" w:rsidRDefault="00D44160" w:rsidP="007A0192">
            <w:pPr>
              <w:widowControl w:val="0"/>
              <w:autoSpaceDE w:val="0"/>
              <w:autoSpaceDN w:val="0"/>
              <w:adjustRightInd w:val="0"/>
              <w:rPr>
                <w:rFonts w:ascii="Calibri" w:hAnsi="Calibri" w:cs="Calibri"/>
                <w:b/>
                <w:lang w:val="en-US"/>
              </w:rPr>
            </w:pPr>
            <w:r w:rsidRPr="00755CE2">
              <w:rPr>
                <w:rFonts w:ascii="Calibri" w:hAnsi="Calibri" w:cs="Calibri"/>
                <w:b/>
                <w:lang w:val="en-US"/>
              </w:rPr>
              <w:t>BA/BSc Archaeology</w:t>
            </w:r>
          </w:p>
        </w:tc>
        <w:tc>
          <w:tcPr>
            <w:tcW w:w="3143" w:type="dxa"/>
            <w:shd w:val="clear" w:color="auto" w:fill="DAE9F7"/>
          </w:tcPr>
          <w:p w14:paraId="437EFF6A" w14:textId="77777777" w:rsidR="00D44160" w:rsidRPr="00F06525" w:rsidRDefault="00D44160" w:rsidP="007A0192">
            <w:pPr>
              <w:widowControl w:val="0"/>
              <w:jc w:val="center"/>
              <w:rPr>
                <w:rFonts w:ascii="Calibri" w:hAnsi="Calibri" w:cs="Calibri"/>
                <w:lang w:val="en-US"/>
              </w:rPr>
            </w:pPr>
          </w:p>
        </w:tc>
        <w:tc>
          <w:tcPr>
            <w:tcW w:w="4086" w:type="dxa"/>
            <w:shd w:val="clear" w:color="auto" w:fill="DAE9F7"/>
          </w:tcPr>
          <w:p w14:paraId="391B5A23" w14:textId="77777777" w:rsidR="00D44160" w:rsidRPr="00F06525" w:rsidRDefault="00D44160" w:rsidP="007A0192">
            <w:pPr>
              <w:widowControl w:val="0"/>
              <w:rPr>
                <w:rFonts w:ascii="Calibri" w:hAnsi="Calibri" w:cs="Calibri"/>
                <w:lang w:val="en-US"/>
              </w:rPr>
            </w:pPr>
          </w:p>
        </w:tc>
      </w:tr>
      <w:tr w:rsidR="00D44160" w:rsidRPr="00F06525" w14:paraId="66038D34" w14:textId="77777777" w:rsidTr="00671B9B">
        <w:tc>
          <w:tcPr>
            <w:tcW w:w="2972" w:type="dxa"/>
            <w:shd w:val="clear" w:color="auto" w:fill="FFFFFF" w:themeFill="background1"/>
          </w:tcPr>
          <w:p w14:paraId="4BA6D87C" w14:textId="77777777" w:rsidR="00D44160" w:rsidRPr="00F06525" w:rsidRDefault="00D44160" w:rsidP="007A0192">
            <w:pPr>
              <w:widowControl w:val="0"/>
              <w:autoSpaceDE w:val="0"/>
              <w:autoSpaceDN w:val="0"/>
              <w:adjustRightInd w:val="0"/>
              <w:rPr>
                <w:rFonts w:ascii="Calibri" w:hAnsi="Calibri" w:cs="Calibri"/>
                <w:b/>
                <w:bCs/>
                <w:lang w:val="en-US"/>
              </w:rPr>
            </w:pPr>
            <w:r w:rsidRPr="00F06525">
              <w:rPr>
                <w:rFonts w:ascii="Calibri" w:hAnsi="Calibri" w:cs="Calibri"/>
                <w:b/>
                <w:bCs/>
                <w:lang w:val="en-US"/>
              </w:rPr>
              <w:t>Recommendation 9</w:t>
            </w:r>
          </w:p>
          <w:p w14:paraId="08786FEF" w14:textId="77777777" w:rsidR="00D44160" w:rsidRDefault="00D44160" w:rsidP="007A0192">
            <w:pPr>
              <w:autoSpaceDE w:val="0"/>
              <w:autoSpaceDN w:val="0"/>
              <w:adjustRightInd w:val="0"/>
              <w:rPr>
                <w:rFonts w:ascii="Calibri" w:eastAsia="Calibri" w:hAnsi="Calibri" w:cs="Calibri"/>
                <w:bCs/>
                <w:color w:val="000000"/>
                <w:lang w:val="en-US"/>
              </w:rPr>
            </w:pPr>
            <w:r w:rsidRPr="00F06525">
              <w:rPr>
                <w:rFonts w:ascii="Calibri" w:hAnsi="Calibri" w:cs="Calibri"/>
                <w:bCs/>
              </w:rPr>
              <w:lastRenderedPageBreak/>
              <w:t xml:space="preserve">That the Program consider prioritizing hiring in </w:t>
            </w:r>
            <w:r w:rsidRPr="00F06525">
              <w:rPr>
                <w:rFonts w:ascii="Calibri" w:eastAsia="Calibri" w:hAnsi="Calibri" w:cs="Calibri"/>
                <w:bCs/>
                <w:color w:val="000000"/>
                <w:lang w:val="en-US"/>
              </w:rPr>
              <w:t>Ontario/Great Lakes Archaeology, Mesoamerica, South America, and prehistoric archaeology.</w:t>
            </w:r>
          </w:p>
          <w:p w14:paraId="5ACBF113" w14:textId="77777777" w:rsidR="00E7582C" w:rsidRPr="00F06525" w:rsidRDefault="00E7582C" w:rsidP="007A0192">
            <w:pPr>
              <w:autoSpaceDE w:val="0"/>
              <w:autoSpaceDN w:val="0"/>
              <w:adjustRightInd w:val="0"/>
              <w:rPr>
                <w:rFonts w:ascii="Calibri" w:hAnsi="Calibri" w:cs="Calibri"/>
                <w:bCs/>
                <w:lang w:val="en-US"/>
              </w:rPr>
            </w:pPr>
          </w:p>
        </w:tc>
        <w:tc>
          <w:tcPr>
            <w:tcW w:w="3143" w:type="dxa"/>
            <w:shd w:val="clear" w:color="auto" w:fill="FFFFFF" w:themeFill="background1"/>
          </w:tcPr>
          <w:p w14:paraId="5CEC528C" w14:textId="2F59C678" w:rsidR="00D44160" w:rsidRPr="00F06525" w:rsidRDefault="00D44160" w:rsidP="007A0192">
            <w:pPr>
              <w:widowControl w:val="0"/>
              <w:rPr>
                <w:rFonts w:ascii="Calibri" w:hAnsi="Calibri" w:cs="Calibri"/>
                <w:lang w:val="en-US"/>
              </w:rPr>
            </w:pPr>
            <w:r w:rsidRPr="00F06525">
              <w:rPr>
                <w:rFonts w:ascii="Calibri" w:hAnsi="Calibri" w:cs="Calibri"/>
                <w:lang w:val="en-US"/>
              </w:rPr>
              <w:lastRenderedPageBreak/>
              <w:t xml:space="preserve">The Implementation Report </w:t>
            </w:r>
            <w:r>
              <w:rPr>
                <w:rFonts w:ascii="Calibri" w:hAnsi="Calibri" w:cs="Calibri"/>
                <w:lang w:val="en-US"/>
              </w:rPr>
              <w:t>will</w:t>
            </w:r>
            <w:r w:rsidRPr="00F06525">
              <w:rPr>
                <w:rFonts w:ascii="Calibri" w:hAnsi="Calibri" w:cs="Calibri"/>
                <w:lang w:val="en-US"/>
              </w:rPr>
              <w:t xml:space="preserve"> </w:t>
            </w:r>
            <w:r w:rsidRPr="00F06525">
              <w:rPr>
                <w:rFonts w:ascii="Calibri" w:hAnsi="Calibri" w:cs="Calibri"/>
                <w:lang w:val="en-US"/>
              </w:rPr>
              <w:lastRenderedPageBreak/>
              <w:t>provide an update on how the Program will move forward with the noted gap in anthropology</w:t>
            </w:r>
            <w:r>
              <w:rPr>
                <w:rFonts w:ascii="Calibri" w:hAnsi="Calibri" w:cs="Calibri"/>
                <w:lang w:val="en-US"/>
              </w:rPr>
              <w:t>/</w:t>
            </w:r>
            <w:r w:rsidRPr="00F06525">
              <w:rPr>
                <w:rFonts w:ascii="Calibri" w:hAnsi="Calibri" w:cs="Calibri"/>
                <w:lang w:val="en-US"/>
              </w:rPr>
              <w:t xml:space="preserve"> archaeology of North America.</w:t>
            </w:r>
          </w:p>
        </w:tc>
        <w:tc>
          <w:tcPr>
            <w:tcW w:w="4086" w:type="dxa"/>
            <w:shd w:val="clear" w:color="auto" w:fill="FFFFFF" w:themeFill="background1"/>
          </w:tcPr>
          <w:p w14:paraId="1AF3C747" w14:textId="2197FCFE" w:rsidR="00D44160" w:rsidRDefault="00D44160" w:rsidP="007A0192">
            <w:pPr>
              <w:widowControl w:val="0"/>
              <w:rPr>
                <w:rFonts w:ascii="Calibri" w:hAnsi="Calibri" w:cs="Calibri"/>
                <w:lang w:val="en-US"/>
              </w:rPr>
            </w:pPr>
            <w:r w:rsidRPr="0A71E50D">
              <w:rPr>
                <w:rFonts w:ascii="Calibri" w:hAnsi="Calibri" w:cs="Calibri"/>
                <w:lang w:val="en-US"/>
              </w:rPr>
              <w:lastRenderedPageBreak/>
              <w:t xml:space="preserve">Explorations of an endowed professorship </w:t>
            </w:r>
            <w:r w:rsidR="000809B5">
              <w:rPr>
                <w:rFonts w:ascii="Calibri" w:hAnsi="Calibri" w:cs="Calibri"/>
                <w:lang w:val="en-US"/>
              </w:rPr>
              <w:lastRenderedPageBreak/>
              <w:t xml:space="preserve">was </w:t>
            </w:r>
            <w:r w:rsidRPr="0A71E50D">
              <w:rPr>
                <w:rFonts w:ascii="Calibri" w:hAnsi="Calibri" w:cs="Calibri"/>
                <w:lang w:val="en-US"/>
              </w:rPr>
              <w:t xml:space="preserve">stalled </w:t>
            </w:r>
            <w:r w:rsidR="000809B5">
              <w:rPr>
                <w:rFonts w:ascii="Calibri" w:hAnsi="Calibri" w:cs="Calibri"/>
                <w:lang w:val="en-US"/>
              </w:rPr>
              <w:t>due to available funding</w:t>
            </w:r>
            <w:r w:rsidRPr="0A71E50D">
              <w:rPr>
                <w:rFonts w:ascii="Calibri" w:hAnsi="Calibri" w:cs="Calibri"/>
                <w:lang w:val="en-US"/>
              </w:rPr>
              <w:t xml:space="preserve">. </w:t>
            </w:r>
            <w:r w:rsidR="000809B5">
              <w:rPr>
                <w:rFonts w:ascii="Calibri" w:hAnsi="Calibri" w:cs="Calibri"/>
                <w:lang w:val="en-US"/>
              </w:rPr>
              <w:t xml:space="preserve">The Department is </w:t>
            </w:r>
            <w:r w:rsidRPr="0A71E50D">
              <w:rPr>
                <w:rFonts w:ascii="Calibri" w:hAnsi="Calibri" w:cs="Calibri"/>
                <w:lang w:val="en-US"/>
              </w:rPr>
              <w:t>now exploring hiring a Tier II CRC in Ontario archaeology.</w:t>
            </w:r>
          </w:p>
          <w:p w14:paraId="1A2DB19D" w14:textId="36565C49" w:rsidR="00D44160" w:rsidRPr="00F06525" w:rsidRDefault="00D44160" w:rsidP="007A0192">
            <w:pPr>
              <w:widowControl w:val="0"/>
              <w:rPr>
                <w:rFonts w:ascii="Calibri" w:hAnsi="Calibri" w:cs="Calibri"/>
                <w:lang w:val="en-US"/>
              </w:rPr>
            </w:pPr>
          </w:p>
        </w:tc>
      </w:tr>
      <w:tr w:rsidR="00D44160" w:rsidRPr="00F06525" w14:paraId="496E6F3F" w14:textId="77777777" w:rsidTr="00671B9B">
        <w:tc>
          <w:tcPr>
            <w:tcW w:w="2972" w:type="dxa"/>
            <w:shd w:val="clear" w:color="auto" w:fill="DAE9F7"/>
          </w:tcPr>
          <w:p w14:paraId="40A2CE9E" w14:textId="77777777" w:rsidR="00D44160" w:rsidRPr="00755CE2" w:rsidRDefault="00D44160" w:rsidP="007A0192">
            <w:pPr>
              <w:widowControl w:val="0"/>
              <w:autoSpaceDE w:val="0"/>
              <w:autoSpaceDN w:val="0"/>
              <w:adjustRightInd w:val="0"/>
              <w:rPr>
                <w:rFonts w:ascii="Calibri" w:hAnsi="Calibri" w:cs="Calibri"/>
                <w:b/>
                <w:lang w:val="en-US"/>
              </w:rPr>
            </w:pPr>
            <w:r w:rsidRPr="00755CE2">
              <w:rPr>
                <w:rFonts w:ascii="Calibri" w:hAnsi="Calibri" w:cs="Calibri"/>
                <w:b/>
                <w:lang w:val="en-US"/>
              </w:rPr>
              <w:lastRenderedPageBreak/>
              <w:t>Graduate Programs</w:t>
            </w:r>
          </w:p>
        </w:tc>
        <w:tc>
          <w:tcPr>
            <w:tcW w:w="3143" w:type="dxa"/>
            <w:shd w:val="clear" w:color="auto" w:fill="DAE9F7"/>
          </w:tcPr>
          <w:p w14:paraId="40DD4915" w14:textId="77777777" w:rsidR="00D44160" w:rsidRPr="00F06525" w:rsidRDefault="00D44160" w:rsidP="007A0192">
            <w:pPr>
              <w:widowControl w:val="0"/>
              <w:jc w:val="center"/>
              <w:rPr>
                <w:rFonts w:ascii="Calibri" w:hAnsi="Calibri" w:cs="Calibri"/>
                <w:lang w:val="en-US"/>
              </w:rPr>
            </w:pPr>
          </w:p>
        </w:tc>
        <w:tc>
          <w:tcPr>
            <w:tcW w:w="4086" w:type="dxa"/>
            <w:shd w:val="clear" w:color="auto" w:fill="DAE9F7"/>
          </w:tcPr>
          <w:p w14:paraId="12FE862F" w14:textId="77777777" w:rsidR="00D44160" w:rsidRPr="00F06525" w:rsidRDefault="00D44160" w:rsidP="007A0192">
            <w:pPr>
              <w:widowControl w:val="0"/>
              <w:rPr>
                <w:rFonts w:ascii="Calibri" w:hAnsi="Calibri" w:cs="Calibri"/>
                <w:lang w:val="en-US"/>
              </w:rPr>
            </w:pPr>
          </w:p>
        </w:tc>
      </w:tr>
      <w:tr w:rsidR="00D44160" w:rsidRPr="00F06525" w14:paraId="23CD6F0C" w14:textId="77777777" w:rsidTr="00671B9B">
        <w:tc>
          <w:tcPr>
            <w:tcW w:w="2972" w:type="dxa"/>
            <w:shd w:val="clear" w:color="auto" w:fill="FFFFFF" w:themeFill="background1"/>
          </w:tcPr>
          <w:p w14:paraId="2CAEAA3E" w14:textId="77777777" w:rsidR="00D44160" w:rsidRPr="00F06525" w:rsidRDefault="00D44160" w:rsidP="007A0192">
            <w:pPr>
              <w:widowControl w:val="0"/>
              <w:autoSpaceDE w:val="0"/>
              <w:autoSpaceDN w:val="0"/>
              <w:adjustRightInd w:val="0"/>
              <w:rPr>
                <w:rFonts w:ascii="Calibri" w:hAnsi="Calibri" w:cs="Calibri"/>
                <w:b/>
                <w:bCs/>
                <w:lang w:val="en-US"/>
              </w:rPr>
            </w:pPr>
            <w:r w:rsidRPr="00F06525">
              <w:rPr>
                <w:rFonts w:ascii="Calibri" w:hAnsi="Calibri" w:cs="Calibri"/>
                <w:b/>
                <w:bCs/>
                <w:lang w:val="en-US"/>
              </w:rPr>
              <w:t>Recommendation 12</w:t>
            </w:r>
          </w:p>
          <w:p w14:paraId="43C5C4A5" w14:textId="5ED1566B" w:rsidR="00D44160" w:rsidRPr="00F06525" w:rsidRDefault="00D44160" w:rsidP="007A0192">
            <w:pPr>
              <w:autoSpaceDE w:val="0"/>
              <w:autoSpaceDN w:val="0"/>
              <w:adjustRightInd w:val="0"/>
              <w:rPr>
                <w:rFonts w:ascii="Calibri" w:eastAsia="Calibri" w:hAnsi="Calibri" w:cs="Calibri"/>
                <w:bCs/>
                <w:color w:val="000000"/>
                <w:lang w:val="en-US"/>
              </w:rPr>
            </w:pPr>
            <w:r w:rsidRPr="00F06525">
              <w:rPr>
                <w:rFonts w:ascii="Calibri" w:hAnsi="Calibri" w:cs="Calibri"/>
                <w:bCs/>
              </w:rPr>
              <w:t>That the Program develop a strategic plan for the next 5 years and consider if an MA/</w:t>
            </w:r>
            <w:r w:rsidR="000809B5">
              <w:rPr>
                <w:rFonts w:ascii="Calibri" w:hAnsi="Calibri" w:cs="Calibri"/>
                <w:bCs/>
              </w:rPr>
              <w:t xml:space="preserve"> </w:t>
            </w:r>
            <w:r w:rsidRPr="00F06525">
              <w:rPr>
                <w:rFonts w:ascii="Calibri" w:hAnsi="Calibri" w:cs="Calibri"/>
                <w:bCs/>
              </w:rPr>
              <w:t>MSc program in Archaeology would better reflect faculty research strengths.</w:t>
            </w:r>
          </w:p>
          <w:p w14:paraId="1515C9A8" w14:textId="77777777" w:rsidR="00D44160" w:rsidRPr="00F06525" w:rsidRDefault="00D44160" w:rsidP="007A0192">
            <w:pPr>
              <w:widowControl w:val="0"/>
              <w:autoSpaceDE w:val="0"/>
              <w:autoSpaceDN w:val="0"/>
              <w:adjustRightInd w:val="0"/>
              <w:rPr>
                <w:rFonts w:ascii="Calibri" w:hAnsi="Calibri" w:cs="Calibri"/>
                <w:bCs/>
                <w:lang w:val="en-US"/>
              </w:rPr>
            </w:pPr>
          </w:p>
        </w:tc>
        <w:tc>
          <w:tcPr>
            <w:tcW w:w="3143" w:type="dxa"/>
            <w:shd w:val="clear" w:color="auto" w:fill="FFFFFF" w:themeFill="background1"/>
          </w:tcPr>
          <w:p w14:paraId="7FE5F217" w14:textId="77777777" w:rsidR="00D44160" w:rsidRPr="00F06525" w:rsidRDefault="00D44160" w:rsidP="007A0192">
            <w:pPr>
              <w:widowControl w:val="0"/>
              <w:rPr>
                <w:rFonts w:ascii="Calibri" w:hAnsi="Calibri" w:cs="Calibri"/>
                <w:lang w:val="en-US"/>
              </w:rPr>
            </w:pPr>
            <w:r w:rsidRPr="00F06525">
              <w:rPr>
                <w:rFonts w:ascii="Calibri" w:hAnsi="Calibri" w:cs="Calibri"/>
                <w:lang w:val="en-US"/>
              </w:rPr>
              <w:t xml:space="preserve">The </w:t>
            </w:r>
            <w:r>
              <w:rPr>
                <w:rFonts w:ascii="Calibri" w:hAnsi="Calibri" w:cs="Calibri"/>
                <w:lang w:val="en-US"/>
              </w:rPr>
              <w:t xml:space="preserve">annual academic planning process should </w:t>
            </w:r>
            <w:r w:rsidRPr="00F06525">
              <w:rPr>
                <w:rFonts w:ascii="Calibri" w:hAnsi="Calibri" w:cs="Calibri"/>
                <w:lang w:val="en-US"/>
              </w:rPr>
              <w:t>consider faculty expertise as well as the three subfields (sociocultural anthropology, linguistic anthropology, and biological anthropology).</w:t>
            </w:r>
          </w:p>
          <w:p w14:paraId="3385682C" w14:textId="77777777" w:rsidR="00D44160" w:rsidRPr="00F06525" w:rsidRDefault="00D44160" w:rsidP="007A0192">
            <w:pPr>
              <w:widowControl w:val="0"/>
              <w:jc w:val="center"/>
              <w:rPr>
                <w:rFonts w:ascii="Calibri" w:hAnsi="Calibri" w:cs="Calibri"/>
                <w:lang w:val="en-US"/>
              </w:rPr>
            </w:pPr>
          </w:p>
          <w:p w14:paraId="463DACCB" w14:textId="77777777" w:rsidR="00D44160" w:rsidRDefault="00D44160" w:rsidP="007A0192">
            <w:pPr>
              <w:widowControl w:val="0"/>
              <w:rPr>
                <w:rFonts w:ascii="Calibri" w:hAnsi="Calibri" w:cs="Calibri"/>
                <w:lang w:val="en-US"/>
              </w:rPr>
            </w:pPr>
            <w:r w:rsidRPr="00F06525">
              <w:rPr>
                <w:rFonts w:ascii="Calibri" w:hAnsi="Calibri" w:cs="Calibri"/>
                <w:lang w:val="en-US"/>
              </w:rPr>
              <w:t>The Implementation Plan should provide an update on the development of a strategic plan.</w:t>
            </w:r>
          </w:p>
          <w:p w14:paraId="1FFA37BA" w14:textId="77777777" w:rsidR="00D10BB1" w:rsidRPr="00F06525" w:rsidRDefault="00D10BB1" w:rsidP="007A0192">
            <w:pPr>
              <w:widowControl w:val="0"/>
              <w:rPr>
                <w:rFonts w:ascii="Calibri" w:hAnsi="Calibri" w:cs="Calibri"/>
                <w:lang w:val="en-US"/>
              </w:rPr>
            </w:pPr>
          </w:p>
        </w:tc>
        <w:tc>
          <w:tcPr>
            <w:tcW w:w="4086" w:type="dxa"/>
            <w:shd w:val="clear" w:color="auto" w:fill="FFFFFF" w:themeFill="background1"/>
          </w:tcPr>
          <w:p w14:paraId="45789445" w14:textId="5F3459F8" w:rsidR="00D44160" w:rsidRDefault="00D44160" w:rsidP="007A0192">
            <w:pPr>
              <w:widowControl w:val="0"/>
              <w:rPr>
                <w:rFonts w:ascii="Calibri" w:hAnsi="Calibri" w:cs="Calibri"/>
                <w:lang w:val="en-US"/>
              </w:rPr>
            </w:pPr>
            <w:r w:rsidRPr="045897A3">
              <w:rPr>
                <w:rFonts w:ascii="Calibri" w:hAnsi="Calibri" w:cs="Calibri"/>
                <w:lang w:val="en-US"/>
              </w:rPr>
              <w:t>The strategic plan of the anthropology graduate program aligns with the broader understanding of anthropology in the North American context that sees archaeology as one of its constituent parts. Currently faculty members in biological</w:t>
            </w:r>
            <w:r>
              <w:rPr>
                <w:rFonts w:ascii="Calibri" w:hAnsi="Calibri" w:cs="Calibri"/>
                <w:lang w:val="en-US"/>
              </w:rPr>
              <w:t xml:space="preserve">, </w:t>
            </w:r>
            <w:r w:rsidRPr="045897A3">
              <w:rPr>
                <w:rFonts w:ascii="Calibri" w:hAnsi="Calibri" w:cs="Calibri"/>
                <w:lang w:val="en-US"/>
              </w:rPr>
              <w:t>anthropology</w:t>
            </w:r>
            <w:r>
              <w:rPr>
                <w:rFonts w:ascii="Calibri" w:hAnsi="Calibri" w:cs="Calibri"/>
                <w:lang w:val="en-US"/>
              </w:rPr>
              <w:t>,</w:t>
            </w:r>
            <w:r w:rsidRPr="045897A3">
              <w:rPr>
                <w:rFonts w:ascii="Calibri" w:hAnsi="Calibri" w:cs="Calibri"/>
                <w:lang w:val="en-US"/>
              </w:rPr>
              <w:t xml:space="preserve"> and sociocultural anthropology do contribute to the graduate program</w:t>
            </w:r>
            <w:r w:rsidR="000809B5">
              <w:rPr>
                <w:rFonts w:ascii="Calibri" w:hAnsi="Calibri" w:cs="Calibri"/>
                <w:lang w:val="en-US"/>
              </w:rPr>
              <w:t xml:space="preserve">, however with the current </w:t>
            </w:r>
            <w:r w:rsidRPr="045897A3">
              <w:rPr>
                <w:rFonts w:ascii="Calibri" w:hAnsi="Calibri" w:cs="Calibri"/>
                <w:lang w:val="en-US"/>
              </w:rPr>
              <w:t xml:space="preserve">faculty complement </w:t>
            </w:r>
            <w:r w:rsidR="000809B5">
              <w:rPr>
                <w:rFonts w:ascii="Calibri" w:hAnsi="Calibri" w:cs="Calibri"/>
                <w:lang w:val="en-US"/>
              </w:rPr>
              <w:t>emphasis has been placed on archaeology.</w:t>
            </w:r>
            <w:r w:rsidRPr="045897A3">
              <w:rPr>
                <w:rFonts w:ascii="Calibri" w:hAnsi="Calibri" w:cs="Calibri"/>
                <w:lang w:val="en-US"/>
              </w:rPr>
              <w:t xml:space="preserve"> </w:t>
            </w:r>
            <w:r w:rsidR="000809B5">
              <w:rPr>
                <w:rFonts w:ascii="Calibri" w:hAnsi="Calibri" w:cs="Calibri"/>
                <w:lang w:val="en-US"/>
              </w:rPr>
              <w:t xml:space="preserve"> </w:t>
            </w:r>
          </w:p>
          <w:p w14:paraId="61B6259A" w14:textId="738C1174" w:rsidR="00D44160" w:rsidRPr="00F06525" w:rsidRDefault="00D44160" w:rsidP="007A0192">
            <w:pPr>
              <w:widowControl w:val="0"/>
              <w:rPr>
                <w:rFonts w:ascii="Calibri" w:hAnsi="Calibri" w:cs="Calibri"/>
                <w:lang w:val="en-US"/>
              </w:rPr>
            </w:pPr>
          </w:p>
        </w:tc>
      </w:tr>
      <w:tr w:rsidR="00D44160" w:rsidRPr="00F06525" w14:paraId="696047FB" w14:textId="77777777" w:rsidTr="00671B9B">
        <w:tc>
          <w:tcPr>
            <w:tcW w:w="2972" w:type="dxa"/>
            <w:shd w:val="clear" w:color="auto" w:fill="FFFFFF" w:themeFill="background1"/>
          </w:tcPr>
          <w:p w14:paraId="1B29DAA1" w14:textId="77777777" w:rsidR="00D44160" w:rsidRPr="00F06525" w:rsidRDefault="00D44160" w:rsidP="007A0192">
            <w:pPr>
              <w:widowControl w:val="0"/>
              <w:autoSpaceDE w:val="0"/>
              <w:autoSpaceDN w:val="0"/>
              <w:adjustRightInd w:val="0"/>
              <w:rPr>
                <w:rFonts w:ascii="Calibri" w:hAnsi="Calibri" w:cs="Calibri"/>
                <w:b/>
                <w:bCs/>
                <w:lang w:val="en-US"/>
              </w:rPr>
            </w:pPr>
            <w:r w:rsidRPr="00F06525">
              <w:rPr>
                <w:rFonts w:ascii="Calibri" w:hAnsi="Calibri" w:cs="Calibri"/>
                <w:b/>
                <w:bCs/>
                <w:lang w:val="en-US"/>
              </w:rPr>
              <w:t>Recommendation 13</w:t>
            </w:r>
          </w:p>
          <w:p w14:paraId="2FB51FF7" w14:textId="77777777" w:rsidR="00D44160" w:rsidRPr="00F06525" w:rsidRDefault="00D44160" w:rsidP="007A0192">
            <w:pPr>
              <w:autoSpaceDE w:val="0"/>
              <w:autoSpaceDN w:val="0"/>
              <w:adjustRightInd w:val="0"/>
              <w:rPr>
                <w:rFonts w:ascii="Calibri" w:hAnsi="Calibri" w:cs="Calibri"/>
                <w:bCs/>
              </w:rPr>
            </w:pPr>
            <w:r w:rsidRPr="00F06525">
              <w:rPr>
                <w:rFonts w:ascii="Calibri" w:hAnsi="Calibri" w:cs="Calibri"/>
                <w:bCs/>
              </w:rPr>
              <w:t>That the Program consider reducing the Research Design course (ANTH 5500Y) to a single term and explore whether there is scope for the MA and MSc streams to diverge in the second term to enhance support for the development of research proposals.</w:t>
            </w:r>
          </w:p>
          <w:p w14:paraId="52981987" w14:textId="77777777" w:rsidR="00D44160" w:rsidRPr="00F06525" w:rsidRDefault="00D44160" w:rsidP="007A0192">
            <w:pPr>
              <w:widowControl w:val="0"/>
              <w:autoSpaceDE w:val="0"/>
              <w:autoSpaceDN w:val="0"/>
              <w:adjustRightInd w:val="0"/>
              <w:rPr>
                <w:rFonts w:ascii="Calibri" w:hAnsi="Calibri" w:cs="Calibri"/>
                <w:bCs/>
                <w:lang w:val="en-US"/>
              </w:rPr>
            </w:pPr>
          </w:p>
        </w:tc>
        <w:tc>
          <w:tcPr>
            <w:tcW w:w="3143" w:type="dxa"/>
            <w:shd w:val="clear" w:color="auto" w:fill="FFFFFF" w:themeFill="background1"/>
          </w:tcPr>
          <w:p w14:paraId="30181EDE" w14:textId="77777777" w:rsidR="00D44160" w:rsidRDefault="00D44160" w:rsidP="007A0192">
            <w:pPr>
              <w:widowControl w:val="0"/>
              <w:rPr>
                <w:rFonts w:ascii="Calibri" w:hAnsi="Calibri" w:cs="Calibri"/>
                <w:lang w:val="en-US"/>
              </w:rPr>
            </w:pPr>
            <w:r>
              <w:rPr>
                <w:rFonts w:ascii="Calibri" w:hAnsi="Calibri" w:cs="Calibri"/>
                <w:lang w:val="en-US"/>
              </w:rPr>
              <w:t>Some changes to the design of ANTH 5500Y have already been implemented (WI 2024).</w:t>
            </w:r>
          </w:p>
          <w:p w14:paraId="286507C9" w14:textId="77777777" w:rsidR="00D44160" w:rsidRDefault="00D44160" w:rsidP="007A0192">
            <w:pPr>
              <w:widowControl w:val="0"/>
              <w:rPr>
                <w:rFonts w:ascii="Calibri" w:hAnsi="Calibri" w:cs="Calibri"/>
                <w:lang w:val="en-US"/>
              </w:rPr>
            </w:pPr>
          </w:p>
          <w:p w14:paraId="46E87B64" w14:textId="77777777" w:rsidR="00D44160" w:rsidRPr="00F06525" w:rsidRDefault="00D44160" w:rsidP="007A0192">
            <w:pPr>
              <w:widowControl w:val="0"/>
              <w:rPr>
                <w:rFonts w:ascii="Calibri" w:hAnsi="Calibri" w:cs="Calibri"/>
                <w:lang w:val="en-US"/>
              </w:rPr>
            </w:pPr>
            <w:r w:rsidRPr="00F06525">
              <w:rPr>
                <w:rFonts w:ascii="Calibri" w:hAnsi="Calibri" w:cs="Calibri"/>
                <w:lang w:val="en-US"/>
              </w:rPr>
              <w:t xml:space="preserve">The Implementation Report should provide an update on ANTH 5500Y, specifically any </w:t>
            </w:r>
            <w:r>
              <w:rPr>
                <w:rFonts w:ascii="Calibri" w:hAnsi="Calibri" w:cs="Calibri"/>
                <w:lang w:val="en-US"/>
              </w:rPr>
              <w:t xml:space="preserve">additional </w:t>
            </w:r>
            <w:r w:rsidRPr="00F06525">
              <w:rPr>
                <w:rFonts w:ascii="Calibri" w:hAnsi="Calibri" w:cs="Calibri"/>
                <w:lang w:val="en-US"/>
              </w:rPr>
              <w:t>changes to its structure, and a decision as to whether it will be reduced to a half (H) course.</w:t>
            </w:r>
          </w:p>
        </w:tc>
        <w:tc>
          <w:tcPr>
            <w:tcW w:w="4086" w:type="dxa"/>
            <w:shd w:val="clear" w:color="auto" w:fill="FFFFFF" w:themeFill="background1"/>
          </w:tcPr>
          <w:p w14:paraId="6915D546" w14:textId="72BC5DD5" w:rsidR="00D44160" w:rsidRPr="00F06525" w:rsidRDefault="00D44160" w:rsidP="045897A3">
            <w:pPr>
              <w:widowControl w:val="0"/>
              <w:rPr>
                <w:rFonts w:ascii="Calibri" w:hAnsi="Calibri" w:cs="Calibri"/>
                <w:lang w:val="en-US"/>
              </w:rPr>
            </w:pPr>
            <w:r w:rsidRPr="045897A3">
              <w:rPr>
                <w:rFonts w:ascii="Calibri" w:hAnsi="Calibri" w:cs="Calibri"/>
                <w:lang w:val="en-US"/>
              </w:rPr>
              <w:t xml:space="preserve">The ANTH 5500Y course has not been reduced to a half course. A curriculum review was undertaken in December 2024 and </w:t>
            </w:r>
            <w:r w:rsidR="000809B5">
              <w:rPr>
                <w:rFonts w:ascii="Calibri" w:hAnsi="Calibri" w:cs="Calibri"/>
                <w:lang w:val="en-US"/>
              </w:rPr>
              <w:t>based on data collected from recent graduates, it was determined that the course is</w:t>
            </w:r>
            <w:r w:rsidRPr="045897A3">
              <w:rPr>
                <w:rFonts w:ascii="Calibri" w:hAnsi="Calibri" w:cs="Calibri"/>
                <w:lang w:val="en-US"/>
              </w:rPr>
              <w:t xml:space="preserve"> extremely valuable and represents a core element of the graduate program</w:t>
            </w:r>
            <w:r w:rsidR="000809B5">
              <w:rPr>
                <w:rFonts w:ascii="Calibri" w:hAnsi="Calibri" w:cs="Calibri"/>
                <w:lang w:val="en-US"/>
              </w:rPr>
              <w:t>.</w:t>
            </w:r>
          </w:p>
          <w:p w14:paraId="11C1EA3B" w14:textId="77777777" w:rsidR="00696237" w:rsidRDefault="00696237" w:rsidP="007A0192">
            <w:pPr>
              <w:widowControl w:val="0"/>
              <w:rPr>
                <w:rFonts w:ascii="Calibri" w:hAnsi="Calibri" w:cs="Calibri"/>
                <w:lang w:val="en-US"/>
              </w:rPr>
            </w:pPr>
          </w:p>
          <w:p w14:paraId="62DCC0BC" w14:textId="2B8EE6BD" w:rsidR="00D44160" w:rsidRDefault="00671B9B" w:rsidP="007A0192">
            <w:pPr>
              <w:widowControl w:val="0"/>
              <w:rPr>
                <w:rFonts w:ascii="Calibri" w:hAnsi="Calibri" w:cs="Calibri"/>
                <w:lang w:val="en-US"/>
              </w:rPr>
            </w:pPr>
            <w:r>
              <w:rPr>
                <w:rFonts w:ascii="Calibri" w:hAnsi="Calibri" w:cs="Calibri"/>
                <w:lang w:val="en-US"/>
              </w:rPr>
              <w:t xml:space="preserve">The Department will continue to explore how to </w:t>
            </w:r>
            <w:r w:rsidR="00D44160" w:rsidRPr="045897A3">
              <w:rPr>
                <w:rFonts w:ascii="Calibri" w:hAnsi="Calibri" w:cs="Calibri"/>
                <w:lang w:val="en-US"/>
              </w:rPr>
              <w:t xml:space="preserve"> further differentiat</w:t>
            </w:r>
            <w:r>
              <w:rPr>
                <w:rFonts w:ascii="Calibri" w:hAnsi="Calibri" w:cs="Calibri"/>
                <w:lang w:val="en-US"/>
              </w:rPr>
              <w:t>e</w:t>
            </w:r>
            <w:r w:rsidR="00D44160" w:rsidRPr="045897A3">
              <w:rPr>
                <w:rFonts w:ascii="Calibri" w:hAnsi="Calibri" w:cs="Calibri"/>
                <w:lang w:val="en-US"/>
              </w:rPr>
              <w:t xml:space="preserve"> </w:t>
            </w:r>
            <w:r>
              <w:rPr>
                <w:rFonts w:ascii="Calibri" w:hAnsi="Calibri" w:cs="Calibri"/>
                <w:lang w:val="en-US"/>
              </w:rPr>
              <w:t>the</w:t>
            </w:r>
            <w:r w:rsidR="00D44160" w:rsidRPr="045897A3">
              <w:rPr>
                <w:rFonts w:ascii="Calibri" w:hAnsi="Calibri" w:cs="Calibri"/>
                <w:lang w:val="en-US"/>
              </w:rPr>
              <w:t xml:space="preserve"> MSc and MA programs</w:t>
            </w:r>
            <w:r>
              <w:rPr>
                <w:rFonts w:ascii="Calibri" w:hAnsi="Calibri" w:cs="Calibri"/>
                <w:lang w:val="en-US"/>
              </w:rPr>
              <w:t xml:space="preserve">, e.g., workshop sessions that are specific </w:t>
            </w:r>
            <w:proofErr w:type="gramStart"/>
            <w:r>
              <w:rPr>
                <w:rFonts w:ascii="Calibri" w:hAnsi="Calibri" w:cs="Calibri"/>
                <w:lang w:val="en-US"/>
              </w:rPr>
              <w:t>for</w:t>
            </w:r>
            <w:proofErr w:type="gramEnd"/>
            <w:r>
              <w:rPr>
                <w:rFonts w:ascii="Calibri" w:hAnsi="Calibri" w:cs="Calibri"/>
                <w:lang w:val="en-US"/>
              </w:rPr>
              <w:t xml:space="preserve"> each stream.</w:t>
            </w:r>
          </w:p>
          <w:p w14:paraId="2BCCC2F7" w14:textId="56A3A84D" w:rsidR="00D44160" w:rsidRPr="00F06525" w:rsidRDefault="00D44160" w:rsidP="007A0192">
            <w:pPr>
              <w:widowControl w:val="0"/>
              <w:rPr>
                <w:rFonts w:ascii="Calibri" w:hAnsi="Calibri" w:cs="Calibri"/>
                <w:lang w:val="en-US"/>
              </w:rPr>
            </w:pPr>
          </w:p>
        </w:tc>
      </w:tr>
    </w:tbl>
    <w:p w14:paraId="5CB22B23" w14:textId="77777777" w:rsidR="00914748" w:rsidRPr="00DB4362" w:rsidRDefault="00914748" w:rsidP="00914748">
      <w:pPr>
        <w:widowControl w:val="0"/>
        <w:rPr>
          <w:rFonts w:cs="Aptos"/>
          <w:sz w:val="18"/>
          <w:szCs w:val="18"/>
        </w:rPr>
      </w:pPr>
    </w:p>
    <w:p w14:paraId="79537906" w14:textId="1256DB9C" w:rsidR="00CA5E84" w:rsidRDefault="00CA5E84" w:rsidP="00914748">
      <w:pPr>
        <w:tabs>
          <w:tab w:val="left" w:pos="567"/>
        </w:tabs>
        <w:rPr>
          <w:rFonts w:eastAsia="Times New Roman" w:cstheme="minorHAnsi"/>
          <w:b/>
          <w:color w:val="0070C0"/>
          <w:sz w:val="28"/>
          <w:szCs w:val="28"/>
          <w:lang w:val="en-US"/>
        </w:rPr>
      </w:pPr>
    </w:p>
    <w:sectPr w:rsidR="00CA5E84" w:rsidSect="0036644E">
      <w:pgSz w:w="12240" w:h="15840"/>
      <w:pgMar w:top="85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44"/>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F53167B"/>
    <w:multiLevelType w:val="hybridMultilevel"/>
    <w:tmpl w:val="358A77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E4CBC"/>
    <w:multiLevelType w:val="hybridMultilevel"/>
    <w:tmpl w:val="E894F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9117E"/>
    <w:multiLevelType w:val="hybridMultilevel"/>
    <w:tmpl w:val="C14AD3D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15F6B69"/>
    <w:multiLevelType w:val="hybridMultilevel"/>
    <w:tmpl w:val="D7CC4AC8"/>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6431D6"/>
    <w:multiLevelType w:val="hybridMultilevel"/>
    <w:tmpl w:val="53A8B7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63A09"/>
    <w:multiLevelType w:val="hybridMultilevel"/>
    <w:tmpl w:val="58D440C2"/>
    <w:lvl w:ilvl="0" w:tplc="10090017">
      <w:start w:val="1"/>
      <w:numFmt w:val="lowerLetter"/>
      <w:lvlText w:val="%1)"/>
      <w:lvlJc w:val="left"/>
      <w:pPr>
        <w:ind w:left="720" w:hanging="360"/>
      </w:pPr>
      <w:rPr>
        <w:rFonts w:eastAsia="Times New Roman"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C50A97"/>
    <w:multiLevelType w:val="hybridMultilevel"/>
    <w:tmpl w:val="6EB47F9A"/>
    <w:lvl w:ilvl="0" w:tplc="967804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469CA"/>
    <w:multiLevelType w:val="hybridMultilevel"/>
    <w:tmpl w:val="495E1C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D5217D"/>
    <w:multiLevelType w:val="hybridMultilevel"/>
    <w:tmpl w:val="E61C8186"/>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F96703"/>
    <w:multiLevelType w:val="hybridMultilevel"/>
    <w:tmpl w:val="7A14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B6CAA"/>
    <w:multiLevelType w:val="hybridMultilevel"/>
    <w:tmpl w:val="C16A7702"/>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A100E3"/>
    <w:multiLevelType w:val="multilevel"/>
    <w:tmpl w:val="1F568D20"/>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9F14B08"/>
    <w:multiLevelType w:val="hybridMultilevel"/>
    <w:tmpl w:val="A8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27A3D"/>
    <w:multiLevelType w:val="hybridMultilevel"/>
    <w:tmpl w:val="7EFE360E"/>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10B3AB3"/>
    <w:multiLevelType w:val="hybridMultilevel"/>
    <w:tmpl w:val="D5604B8C"/>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3E52645"/>
    <w:multiLevelType w:val="hybridMultilevel"/>
    <w:tmpl w:val="CE0C25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170155E"/>
    <w:multiLevelType w:val="hybridMultilevel"/>
    <w:tmpl w:val="DD9C6958"/>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EE0817"/>
    <w:multiLevelType w:val="hybridMultilevel"/>
    <w:tmpl w:val="F9AE33EA"/>
    <w:lvl w:ilvl="0" w:tplc="32E61C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265B0E"/>
    <w:multiLevelType w:val="hybridMultilevel"/>
    <w:tmpl w:val="A40A86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24405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474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32066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05136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95097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1041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217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3222138">
    <w:abstractNumId w:val="19"/>
  </w:num>
  <w:num w:numId="9" w16cid:durableId="23017375">
    <w:abstractNumId w:val="6"/>
  </w:num>
  <w:num w:numId="10" w16cid:durableId="311522114">
    <w:abstractNumId w:val="0"/>
  </w:num>
  <w:num w:numId="11" w16cid:durableId="1605721424">
    <w:abstractNumId w:val="2"/>
  </w:num>
  <w:num w:numId="12" w16cid:durableId="662052439">
    <w:abstractNumId w:val="13"/>
  </w:num>
  <w:num w:numId="13" w16cid:durableId="1494639257">
    <w:abstractNumId w:val="16"/>
  </w:num>
  <w:num w:numId="14" w16cid:durableId="1860393554">
    <w:abstractNumId w:val="12"/>
  </w:num>
  <w:num w:numId="15" w16cid:durableId="1536190632">
    <w:abstractNumId w:val="10"/>
  </w:num>
  <w:num w:numId="16" w16cid:durableId="798304550">
    <w:abstractNumId w:val="1"/>
  </w:num>
  <w:num w:numId="17" w16cid:durableId="1181437246">
    <w:abstractNumId w:val="8"/>
  </w:num>
  <w:num w:numId="18" w16cid:durableId="1672415290">
    <w:abstractNumId w:val="5"/>
  </w:num>
  <w:num w:numId="19" w16cid:durableId="10769258">
    <w:abstractNumId w:val="7"/>
  </w:num>
  <w:num w:numId="20" w16cid:durableId="2101217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E9"/>
    <w:rsid w:val="00010E14"/>
    <w:rsid w:val="0002209D"/>
    <w:rsid w:val="00026F27"/>
    <w:rsid w:val="00044DDB"/>
    <w:rsid w:val="00063ABF"/>
    <w:rsid w:val="000809B5"/>
    <w:rsid w:val="00090EB9"/>
    <w:rsid w:val="00094F9B"/>
    <w:rsid w:val="000B180A"/>
    <w:rsid w:val="00104F21"/>
    <w:rsid w:val="001348B1"/>
    <w:rsid w:val="00140919"/>
    <w:rsid w:val="00141E9B"/>
    <w:rsid w:val="00145ED5"/>
    <w:rsid w:val="0015024C"/>
    <w:rsid w:val="00192231"/>
    <w:rsid w:val="001974E5"/>
    <w:rsid w:val="001B7049"/>
    <w:rsid w:val="00202200"/>
    <w:rsid w:val="00202DAC"/>
    <w:rsid w:val="00206697"/>
    <w:rsid w:val="00211D80"/>
    <w:rsid w:val="00242224"/>
    <w:rsid w:val="00256003"/>
    <w:rsid w:val="00284E4C"/>
    <w:rsid w:val="0028543D"/>
    <w:rsid w:val="00293B18"/>
    <w:rsid w:val="002B1593"/>
    <w:rsid w:val="002C29EB"/>
    <w:rsid w:val="002F311C"/>
    <w:rsid w:val="003145E3"/>
    <w:rsid w:val="0036644E"/>
    <w:rsid w:val="00390321"/>
    <w:rsid w:val="003D0AEA"/>
    <w:rsid w:val="003D5A6D"/>
    <w:rsid w:val="003E0580"/>
    <w:rsid w:val="00402537"/>
    <w:rsid w:val="00412643"/>
    <w:rsid w:val="00414677"/>
    <w:rsid w:val="004260AD"/>
    <w:rsid w:val="0044598A"/>
    <w:rsid w:val="0045160E"/>
    <w:rsid w:val="004729AB"/>
    <w:rsid w:val="004734B4"/>
    <w:rsid w:val="004B1394"/>
    <w:rsid w:val="004B256F"/>
    <w:rsid w:val="004D3440"/>
    <w:rsid w:val="004E1ED6"/>
    <w:rsid w:val="004E4ADD"/>
    <w:rsid w:val="004E78AF"/>
    <w:rsid w:val="004F0B1F"/>
    <w:rsid w:val="0052090D"/>
    <w:rsid w:val="0055609C"/>
    <w:rsid w:val="00573850"/>
    <w:rsid w:val="005A2364"/>
    <w:rsid w:val="005B6579"/>
    <w:rsid w:val="005C6CE9"/>
    <w:rsid w:val="005E064D"/>
    <w:rsid w:val="005E14C2"/>
    <w:rsid w:val="005E5439"/>
    <w:rsid w:val="00610CB5"/>
    <w:rsid w:val="006135CE"/>
    <w:rsid w:val="00623231"/>
    <w:rsid w:val="00662600"/>
    <w:rsid w:val="0066675B"/>
    <w:rsid w:val="00671B9B"/>
    <w:rsid w:val="00672FC9"/>
    <w:rsid w:val="00690ABF"/>
    <w:rsid w:val="006929AA"/>
    <w:rsid w:val="00696237"/>
    <w:rsid w:val="006A76E1"/>
    <w:rsid w:val="006B1D5F"/>
    <w:rsid w:val="006B33B3"/>
    <w:rsid w:val="006C26CC"/>
    <w:rsid w:val="006C4F4E"/>
    <w:rsid w:val="006D514A"/>
    <w:rsid w:val="006D776F"/>
    <w:rsid w:val="006E1028"/>
    <w:rsid w:val="006F10EE"/>
    <w:rsid w:val="007027C2"/>
    <w:rsid w:val="00712539"/>
    <w:rsid w:val="00723B84"/>
    <w:rsid w:val="007378B0"/>
    <w:rsid w:val="00737DE3"/>
    <w:rsid w:val="007456F6"/>
    <w:rsid w:val="007472C0"/>
    <w:rsid w:val="00755CE2"/>
    <w:rsid w:val="00785CB6"/>
    <w:rsid w:val="00796782"/>
    <w:rsid w:val="007B2178"/>
    <w:rsid w:val="007C2292"/>
    <w:rsid w:val="007C538D"/>
    <w:rsid w:val="007D05A3"/>
    <w:rsid w:val="00816E3E"/>
    <w:rsid w:val="008200CF"/>
    <w:rsid w:val="00827DFA"/>
    <w:rsid w:val="00832845"/>
    <w:rsid w:val="0087784E"/>
    <w:rsid w:val="00893078"/>
    <w:rsid w:val="008C5508"/>
    <w:rsid w:val="008D1A09"/>
    <w:rsid w:val="008D3758"/>
    <w:rsid w:val="008E7038"/>
    <w:rsid w:val="008F323F"/>
    <w:rsid w:val="008F73AF"/>
    <w:rsid w:val="008F7E61"/>
    <w:rsid w:val="0091285F"/>
    <w:rsid w:val="00914748"/>
    <w:rsid w:val="00920861"/>
    <w:rsid w:val="009243C0"/>
    <w:rsid w:val="009406CC"/>
    <w:rsid w:val="00950E4B"/>
    <w:rsid w:val="009645CD"/>
    <w:rsid w:val="00976FE0"/>
    <w:rsid w:val="0099292C"/>
    <w:rsid w:val="009978D4"/>
    <w:rsid w:val="009A2A19"/>
    <w:rsid w:val="009B05C9"/>
    <w:rsid w:val="009B17F3"/>
    <w:rsid w:val="009F138C"/>
    <w:rsid w:val="009F31ED"/>
    <w:rsid w:val="00A122BF"/>
    <w:rsid w:val="00A24F7D"/>
    <w:rsid w:val="00A469F2"/>
    <w:rsid w:val="00A66DF0"/>
    <w:rsid w:val="00AC1B1D"/>
    <w:rsid w:val="00AD3EAE"/>
    <w:rsid w:val="00AE076E"/>
    <w:rsid w:val="00AE4181"/>
    <w:rsid w:val="00B13814"/>
    <w:rsid w:val="00B25888"/>
    <w:rsid w:val="00B569EF"/>
    <w:rsid w:val="00B71642"/>
    <w:rsid w:val="00B82284"/>
    <w:rsid w:val="00B96593"/>
    <w:rsid w:val="00BA031F"/>
    <w:rsid w:val="00BA1F4E"/>
    <w:rsid w:val="00BD0923"/>
    <w:rsid w:val="00BF2028"/>
    <w:rsid w:val="00BF3170"/>
    <w:rsid w:val="00C059BC"/>
    <w:rsid w:val="00C443C0"/>
    <w:rsid w:val="00C5602A"/>
    <w:rsid w:val="00C652FA"/>
    <w:rsid w:val="00C656C7"/>
    <w:rsid w:val="00C847DB"/>
    <w:rsid w:val="00C87508"/>
    <w:rsid w:val="00C97CA0"/>
    <w:rsid w:val="00CA5E84"/>
    <w:rsid w:val="00CC7463"/>
    <w:rsid w:val="00CF349F"/>
    <w:rsid w:val="00CF690E"/>
    <w:rsid w:val="00D10BB1"/>
    <w:rsid w:val="00D30208"/>
    <w:rsid w:val="00D44160"/>
    <w:rsid w:val="00D60F67"/>
    <w:rsid w:val="00D659A8"/>
    <w:rsid w:val="00D954B6"/>
    <w:rsid w:val="00DC5C27"/>
    <w:rsid w:val="00DF6499"/>
    <w:rsid w:val="00E3085A"/>
    <w:rsid w:val="00E31FDB"/>
    <w:rsid w:val="00E55530"/>
    <w:rsid w:val="00E7582C"/>
    <w:rsid w:val="00E87B5C"/>
    <w:rsid w:val="00E9626B"/>
    <w:rsid w:val="00EC6AE5"/>
    <w:rsid w:val="00EE09F6"/>
    <w:rsid w:val="00EE4D84"/>
    <w:rsid w:val="00F06078"/>
    <w:rsid w:val="00F47B79"/>
    <w:rsid w:val="00F607AB"/>
    <w:rsid w:val="00F872A2"/>
    <w:rsid w:val="00FC7E74"/>
    <w:rsid w:val="00FD6C63"/>
    <w:rsid w:val="00FE1BCE"/>
    <w:rsid w:val="00FF6117"/>
    <w:rsid w:val="00FF620F"/>
    <w:rsid w:val="045897A3"/>
    <w:rsid w:val="0A71E50D"/>
    <w:rsid w:val="0BF9441A"/>
    <w:rsid w:val="0C4D8EEB"/>
    <w:rsid w:val="1C4E76CA"/>
    <w:rsid w:val="24366150"/>
    <w:rsid w:val="2FB7C3C7"/>
    <w:rsid w:val="42495D1F"/>
    <w:rsid w:val="49DD26A9"/>
    <w:rsid w:val="4F466254"/>
    <w:rsid w:val="555521D9"/>
    <w:rsid w:val="6C2AE8F8"/>
    <w:rsid w:val="7D2D681A"/>
    <w:rsid w:val="7DDFD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08B5"/>
  <w15:chartTrackingRefBased/>
  <w15:docId w15:val="{9BA46C96-8482-4F85-AC86-B9A14D5B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E9"/>
    <w:pPr>
      <w:spacing w:after="0" w:line="240"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11C"/>
    <w:pPr>
      <w:spacing w:after="0" w:line="240" w:lineRule="auto"/>
    </w:pPr>
    <w:rPr>
      <w:rFonts w:ascii="Calibri" w:eastAsia="Calibri"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499"/>
    <w:pPr>
      <w:ind w:left="720"/>
      <w:contextualSpacing/>
    </w:pPr>
  </w:style>
  <w:style w:type="paragraph" w:customStyle="1" w:styleId="Default">
    <w:name w:val="Default"/>
    <w:qFormat/>
    <w:rsid w:val="00DF649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94F9B"/>
    <w:rPr>
      <w:sz w:val="16"/>
      <w:szCs w:val="16"/>
    </w:rPr>
  </w:style>
  <w:style w:type="paragraph" w:styleId="CommentText">
    <w:name w:val="annotation text"/>
    <w:basedOn w:val="Normal"/>
    <w:link w:val="CommentTextChar"/>
    <w:uiPriority w:val="99"/>
    <w:unhideWhenUsed/>
    <w:rsid w:val="00094F9B"/>
    <w:rPr>
      <w:sz w:val="20"/>
      <w:szCs w:val="20"/>
    </w:rPr>
  </w:style>
  <w:style w:type="character" w:customStyle="1" w:styleId="CommentTextChar">
    <w:name w:val="Comment Text Char"/>
    <w:basedOn w:val="DefaultParagraphFont"/>
    <w:link w:val="CommentText"/>
    <w:uiPriority w:val="99"/>
    <w:rsid w:val="00094F9B"/>
    <w:rPr>
      <w:sz w:val="20"/>
      <w:szCs w:val="20"/>
      <w:lang w:val="en-CA"/>
    </w:rPr>
  </w:style>
  <w:style w:type="paragraph" w:styleId="CommentSubject">
    <w:name w:val="annotation subject"/>
    <w:basedOn w:val="CommentText"/>
    <w:next w:val="CommentText"/>
    <w:link w:val="CommentSubjectChar"/>
    <w:uiPriority w:val="99"/>
    <w:semiHidden/>
    <w:unhideWhenUsed/>
    <w:rsid w:val="00094F9B"/>
    <w:rPr>
      <w:b/>
      <w:bCs/>
    </w:rPr>
  </w:style>
  <w:style w:type="character" w:customStyle="1" w:styleId="CommentSubjectChar">
    <w:name w:val="Comment Subject Char"/>
    <w:basedOn w:val="CommentTextChar"/>
    <w:link w:val="CommentSubject"/>
    <w:uiPriority w:val="99"/>
    <w:semiHidden/>
    <w:rsid w:val="00094F9B"/>
    <w:rPr>
      <w:b/>
      <w:bCs/>
      <w:sz w:val="20"/>
      <w:szCs w:val="20"/>
      <w:lang w:val="en-CA"/>
    </w:rPr>
  </w:style>
  <w:style w:type="paragraph" w:styleId="BalloonText">
    <w:name w:val="Balloon Text"/>
    <w:basedOn w:val="Normal"/>
    <w:link w:val="BalloonTextChar"/>
    <w:uiPriority w:val="99"/>
    <w:semiHidden/>
    <w:unhideWhenUsed/>
    <w:rsid w:val="00366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44E"/>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92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0c3e8709553c6bd9320b2e110c7ba001">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c1987770cc99be90d7e6a37c09b1cc1b"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2B0FF-6599-4800-AF76-646C9AC01EF3}">
  <ds:schemaRefs>
    <ds:schemaRef ds:uri="http://schemas.microsoft.com/office/2006/metadata/properties"/>
    <ds:schemaRef ds:uri="http://schemas.microsoft.com/office/infopath/2007/PartnerControls"/>
    <ds:schemaRef ds:uri="faafa3d7-00df-441e-b7a5-fe07fdd73d12"/>
    <ds:schemaRef ds:uri="ffccba3a-3d65-4506-b139-6238a11b4789"/>
  </ds:schemaRefs>
</ds:datastoreItem>
</file>

<file path=customXml/itemProps2.xml><?xml version="1.0" encoding="utf-8"?>
<ds:datastoreItem xmlns:ds="http://schemas.openxmlformats.org/officeDocument/2006/customXml" ds:itemID="{1D83561B-CE50-47B5-8350-D6D3CEBAE2D3}">
  <ds:schemaRefs>
    <ds:schemaRef ds:uri="http://schemas.microsoft.com/sharepoint/v3/contenttype/forms"/>
  </ds:schemaRefs>
</ds:datastoreItem>
</file>

<file path=customXml/itemProps3.xml><?xml version="1.0" encoding="utf-8"?>
<ds:datastoreItem xmlns:ds="http://schemas.openxmlformats.org/officeDocument/2006/customXml" ds:itemID="{C977EF6E-4144-44B0-91C5-82B56791C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Bruls</dc:creator>
  <cp:keywords/>
  <dc:description/>
  <cp:lastModifiedBy>Jennie Davis</cp:lastModifiedBy>
  <cp:revision>9</cp:revision>
  <cp:lastPrinted>2025-03-03T20:47:00Z</cp:lastPrinted>
  <dcterms:created xsi:type="dcterms:W3CDTF">2025-03-19T17:53:00Z</dcterms:created>
  <dcterms:modified xsi:type="dcterms:W3CDTF">2025-03-27T15:17:00Z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ies>
</file>