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C474" w14:textId="77777777" w:rsidR="004F0E58" w:rsidRPr="004F0E58" w:rsidRDefault="004F0E58" w:rsidP="004F0E58">
      <w:pPr>
        <w:widowControl w:val="0"/>
        <w:autoSpaceDE w:val="0"/>
        <w:autoSpaceDN w:val="0"/>
        <w:adjustRightInd w:val="0"/>
        <w:rPr>
          <w:rFonts w:eastAsia="Calibri"/>
          <w:b/>
          <w:bCs/>
          <w:i/>
          <w:iCs/>
          <w:color w:val="000000"/>
          <w:kern w:val="0"/>
          <w:sz w:val="23"/>
          <w:szCs w:val="23"/>
          <w:lang w:val="en-US"/>
          <w14:ligatures w14:val="none"/>
        </w:rPr>
      </w:pPr>
      <w:r w:rsidRPr="004F0E58">
        <w:rPr>
          <w:rFonts w:eastAsia="Calibri"/>
          <w:noProof/>
          <w:color w:val="000000"/>
          <w:kern w:val="0"/>
          <w:lang w:val="en-US"/>
          <w14:ligatures w14:val="none"/>
        </w:rPr>
        <w:drawing>
          <wp:inline distT="0" distB="0" distL="0" distR="0" wp14:anchorId="107C45B1" wp14:editId="0A8A53D9">
            <wp:extent cx="2362200" cy="787400"/>
            <wp:effectExtent l="0" t="0" r="0" b="0"/>
            <wp:docPr id="739726628" name="Picture 739726628"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29DB644B" w14:textId="77777777" w:rsidR="004F0E58" w:rsidRPr="004F0E58" w:rsidRDefault="004F0E58" w:rsidP="004F0E58">
      <w:pPr>
        <w:widowControl w:val="0"/>
        <w:tabs>
          <w:tab w:val="left" w:pos="360"/>
        </w:tabs>
        <w:autoSpaceDE w:val="0"/>
        <w:autoSpaceDN w:val="0"/>
        <w:adjustRightInd w:val="0"/>
        <w:rPr>
          <w:rFonts w:eastAsia="Calibri" w:cs="Times New Roman"/>
          <w:b/>
          <w:bCs/>
          <w:i/>
          <w:iCs/>
          <w:kern w:val="0"/>
          <w:sz w:val="23"/>
          <w:szCs w:val="23"/>
          <w14:ligatures w14:val="none"/>
        </w:rPr>
      </w:pPr>
      <w:r w:rsidRPr="004F0E58">
        <w:rPr>
          <w:rFonts w:eastAsia="Calibri" w:cs="Times New Roman"/>
          <w:b/>
          <w:bCs/>
          <w:i/>
          <w:iCs/>
          <w:kern w:val="0"/>
          <w:sz w:val="23"/>
          <w:szCs w:val="23"/>
          <w14:ligatures w14:val="none"/>
        </w:rPr>
        <w:t xml:space="preserve"> </w:t>
      </w:r>
    </w:p>
    <w:p w14:paraId="60A35607" w14:textId="77777777" w:rsidR="004F0E58" w:rsidRPr="004F0E58" w:rsidRDefault="004F0E58" w:rsidP="004F0E58">
      <w:pPr>
        <w:widowControl w:val="0"/>
        <w:autoSpaceDE w:val="0"/>
        <w:autoSpaceDN w:val="0"/>
        <w:adjustRightInd w:val="0"/>
        <w:rPr>
          <w:rFonts w:eastAsia="Calibri"/>
          <w:color w:val="000000"/>
          <w:kern w:val="0"/>
          <w:sz w:val="23"/>
          <w:szCs w:val="23"/>
          <w:lang w:val="en-US"/>
          <w14:ligatures w14:val="none"/>
        </w:rPr>
      </w:pPr>
      <w:r w:rsidRPr="004F0E58">
        <w:rPr>
          <w:rFonts w:eastAsia="Calibri"/>
          <w:b/>
          <w:bCs/>
          <w:i/>
          <w:iCs/>
          <w:color w:val="000000"/>
          <w:kern w:val="0"/>
          <w:sz w:val="23"/>
          <w:szCs w:val="23"/>
          <w:lang w:val="en-US"/>
          <w14:ligatures w14:val="none"/>
        </w:rPr>
        <w:t>SUBMITTED TO OUCQA FOR INFORMATION – February 26, 2026</w:t>
      </w:r>
    </w:p>
    <w:p w14:paraId="75284100" w14:textId="77777777" w:rsidR="004F0E58" w:rsidRPr="004F0E58" w:rsidRDefault="004F0E58" w:rsidP="004F0E58">
      <w:pPr>
        <w:widowControl w:val="0"/>
        <w:pBdr>
          <w:bottom w:val="single" w:sz="12" w:space="1" w:color="auto"/>
        </w:pBdr>
        <w:tabs>
          <w:tab w:val="left" w:pos="360"/>
        </w:tabs>
        <w:autoSpaceDE w:val="0"/>
        <w:autoSpaceDN w:val="0"/>
        <w:adjustRightInd w:val="0"/>
        <w:rPr>
          <w:rFonts w:eastAsia="Calibri" w:cs="Times New Roman"/>
          <w:b/>
          <w:bCs/>
          <w:i/>
          <w:iCs/>
          <w:kern w:val="0"/>
          <w:sz w:val="23"/>
          <w:szCs w:val="23"/>
          <w14:ligatures w14:val="none"/>
        </w:rPr>
      </w:pPr>
      <w:r w:rsidRPr="004F0E58">
        <w:rPr>
          <w:rFonts w:eastAsia="Calibri" w:cs="Times New Roman"/>
          <w:b/>
          <w:bCs/>
          <w:i/>
          <w:iCs/>
          <w:kern w:val="0"/>
          <w:sz w:val="23"/>
          <w:szCs w:val="23"/>
          <w14:ligatures w14:val="none"/>
        </w:rPr>
        <w:t>APPROVED BY TRENT UNIVERSITY’S SENATE COMMITTEE – November 11, 2025</w:t>
      </w:r>
    </w:p>
    <w:p w14:paraId="2452A3DF" w14:textId="61B0279D" w:rsidR="004F0E58" w:rsidRPr="004F0E58" w:rsidRDefault="004F0E58" w:rsidP="004F0E58">
      <w:pPr>
        <w:widowControl w:val="0"/>
        <w:outlineLvl w:val="0"/>
        <w:rPr>
          <w:rFonts w:ascii="Arial Black" w:eastAsia="Arial" w:hAnsi="Arial Black"/>
          <w:kern w:val="0"/>
          <w:lang w:val="en-US"/>
          <w14:ligatures w14:val="none"/>
        </w:rPr>
      </w:pPr>
      <w:r w:rsidRPr="004F0E58">
        <w:rPr>
          <w:rFonts w:ascii="Arial Black" w:eastAsia="Arial" w:hAnsi="Arial Black"/>
          <w:b/>
          <w:bCs/>
          <w:kern w:val="0"/>
          <w:lang w:val="en-US"/>
          <w14:ligatures w14:val="none"/>
        </w:rPr>
        <w:t xml:space="preserve">Final Assessment Report &amp; Implementation Plan – </w:t>
      </w:r>
      <w:r>
        <w:rPr>
          <w:rFonts w:ascii="Arial Black" w:eastAsia="Arial" w:hAnsi="Arial Black"/>
          <w:b/>
          <w:bCs/>
          <w:kern w:val="0"/>
          <w:u w:val="single"/>
          <w:lang w:val="en-US"/>
          <w14:ligatures w14:val="none"/>
        </w:rPr>
        <w:t>Executive Summary</w:t>
      </w:r>
    </w:p>
    <w:p w14:paraId="11657A0E" w14:textId="77777777" w:rsidR="004F0E58" w:rsidRPr="004F0E58" w:rsidRDefault="004F0E58" w:rsidP="004F0E58">
      <w:pPr>
        <w:widowControl w:val="0"/>
        <w:numPr>
          <w:ilvl w:val="0"/>
          <w:numId w:val="1"/>
        </w:numPr>
        <w:ind w:left="567" w:hanging="207"/>
        <w:outlineLvl w:val="0"/>
        <w:rPr>
          <w:rFonts w:ascii="Arial Black" w:eastAsia="Arial" w:hAnsi="Arial Black"/>
          <w:b/>
          <w:bCs/>
          <w:kern w:val="0"/>
          <w:lang w:val="en-US"/>
          <w14:ligatures w14:val="none"/>
        </w:rPr>
      </w:pPr>
      <w:r w:rsidRPr="004F0E58">
        <w:rPr>
          <w:rFonts w:ascii="Arial Black" w:eastAsia="Arial" w:hAnsi="Arial Black"/>
          <w:b/>
          <w:bCs/>
          <w:kern w:val="0"/>
          <w14:ligatures w14:val="none"/>
        </w:rPr>
        <w:t>BA Sociology</w:t>
      </w:r>
    </w:p>
    <w:p w14:paraId="7D082EF8" w14:textId="77777777" w:rsidR="004F0E58" w:rsidRPr="004F0E58" w:rsidRDefault="004F0E58" w:rsidP="004F0E58">
      <w:pPr>
        <w:widowControl w:val="0"/>
        <w:numPr>
          <w:ilvl w:val="0"/>
          <w:numId w:val="1"/>
        </w:numPr>
        <w:ind w:left="567" w:hanging="207"/>
        <w:outlineLvl w:val="0"/>
        <w:rPr>
          <w:rFonts w:ascii="Arial Black" w:eastAsia="Arial" w:hAnsi="Arial Black"/>
          <w:b/>
          <w:bCs/>
          <w:kern w:val="0"/>
          <w:lang w:val="en-US"/>
          <w14:ligatures w14:val="none"/>
        </w:rPr>
      </w:pPr>
      <w:r w:rsidRPr="004F0E58">
        <w:rPr>
          <w:rFonts w:ascii="Arial Black" w:eastAsia="Arial" w:hAnsi="Arial Black"/>
          <w:b/>
          <w:bCs/>
          <w:kern w:val="0"/>
          <w14:ligatures w14:val="none"/>
        </w:rPr>
        <w:t>BA Criminology</w:t>
      </w:r>
    </w:p>
    <w:p w14:paraId="3DFECFAA" w14:textId="77777777" w:rsidR="004F0E58" w:rsidRPr="004F0E58" w:rsidRDefault="004F0E58" w:rsidP="004F0E58">
      <w:pPr>
        <w:widowControl w:val="0"/>
        <w:outlineLvl w:val="0"/>
        <w:rPr>
          <w:rFonts w:eastAsia="Arial"/>
          <w:bCs/>
          <w:kern w:val="0"/>
          <w:sz w:val="22"/>
          <w:szCs w:val="22"/>
          <w:lang w:val="en-US"/>
          <w14:ligatures w14:val="none"/>
        </w:rPr>
      </w:pPr>
    </w:p>
    <w:p w14:paraId="73717210" w14:textId="77777777" w:rsidR="004F0E58" w:rsidRPr="004F0E58" w:rsidRDefault="004F0E58" w:rsidP="004F0E58">
      <w:pPr>
        <w:widowControl w:val="0"/>
        <w:outlineLvl w:val="0"/>
        <w:rPr>
          <w:rFonts w:eastAsia="Arial"/>
          <w:bCs/>
          <w:kern w:val="0"/>
          <w:sz w:val="22"/>
          <w:szCs w:val="22"/>
          <w:lang w:val="en-US"/>
          <w14:ligatures w14:val="none"/>
        </w:rPr>
      </w:pPr>
      <w:r w:rsidRPr="004F0E58">
        <w:rPr>
          <w:rFonts w:eastAsia="Arial"/>
          <w:bCs/>
          <w:kern w:val="0"/>
          <w:sz w:val="22"/>
          <w:szCs w:val="22"/>
          <w:lang w:val="en-US"/>
          <w14:ligatures w14:val="none"/>
        </w:rPr>
        <w:t>Completed by the Cyclical Program Review Committee (CPRC)</w:t>
      </w:r>
    </w:p>
    <w:p w14:paraId="6231D0B0" w14:textId="77777777" w:rsidR="004F0E58" w:rsidRPr="004F0E58" w:rsidRDefault="004F0E58" w:rsidP="004F0E58">
      <w:pPr>
        <w:widowControl w:val="0"/>
        <w:outlineLvl w:val="0"/>
        <w:rPr>
          <w:rFonts w:eastAsia="Arial"/>
          <w:bCs/>
          <w:kern w:val="0"/>
          <w:lang w:val="en-US"/>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261"/>
        <w:gridCol w:w="6804"/>
      </w:tblGrid>
      <w:tr w:rsidR="004F0E58" w:rsidRPr="004F0E58" w14:paraId="73D85048" w14:textId="77777777" w:rsidTr="004F0E58">
        <w:trPr>
          <w:trHeight w:val="549"/>
        </w:trPr>
        <w:tc>
          <w:tcPr>
            <w:tcW w:w="3261" w:type="dxa"/>
            <w:shd w:val="clear" w:color="auto" w:fill="BFBFBF"/>
            <w:vAlign w:val="center"/>
          </w:tcPr>
          <w:p w14:paraId="2C1FD9F6"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Degree Programs Being Reviewed</w:t>
            </w:r>
          </w:p>
        </w:tc>
        <w:tc>
          <w:tcPr>
            <w:tcW w:w="6804" w:type="dxa"/>
            <w:vAlign w:val="center"/>
          </w:tcPr>
          <w:p w14:paraId="5CF98D07" w14:textId="77777777" w:rsidR="004F0E58" w:rsidRPr="004F0E58" w:rsidRDefault="004F0E58" w:rsidP="004F0E58">
            <w:pPr>
              <w:widowControl w:val="0"/>
              <w:rPr>
                <w:rFonts w:eastAsia="Calibri"/>
                <w:kern w:val="0"/>
                <w14:ligatures w14:val="none"/>
              </w:rPr>
            </w:pPr>
            <w:r w:rsidRPr="004F0E58">
              <w:rPr>
                <w:rFonts w:eastAsia="Calibri"/>
                <w:kern w:val="0"/>
                <w14:ligatures w14:val="none"/>
              </w:rPr>
              <w:t>BA Sociology – Honours and General – Peterborough &amp; Durham GTA Campus</w:t>
            </w:r>
          </w:p>
          <w:p w14:paraId="6CA43D80" w14:textId="77777777" w:rsidR="004F0E58" w:rsidRPr="004F0E58" w:rsidRDefault="004F0E58" w:rsidP="004F0E58">
            <w:pPr>
              <w:widowControl w:val="0"/>
              <w:autoSpaceDE w:val="0"/>
              <w:autoSpaceDN w:val="0"/>
              <w:adjustRightInd w:val="0"/>
              <w:rPr>
                <w:rFonts w:eastAsia="Calibri"/>
                <w:bCs/>
                <w:kern w:val="0"/>
                <w:highlight w:val="yellow"/>
                <w14:ligatures w14:val="none"/>
              </w:rPr>
            </w:pPr>
            <w:r w:rsidRPr="004F0E58">
              <w:rPr>
                <w:rFonts w:eastAsia="Calibri"/>
                <w:kern w:val="0"/>
                <w14:ligatures w14:val="none"/>
              </w:rPr>
              <w:t>BA Criminology – Honours – Peterborough &amp; Durham GTA Campus</w:t>
            </w:r>
          </w:p>
        </w:tc>
      </w:tr>
      <w:tr w:rsidR="004F0E58" w:rsidRPr="004F0E58" w14:paraId="4DD07503" w14:textId="77777777" w:rsidTr="004F0E58">
        <w:trPr>
          <w:trHeight w:val="543"/>
        </w:trPr>
        <w:tc>
          <w:tcPr>
            <w:tcW w:w="3261" w:type="dxa"/>
            <w:shd w:val="clear" w:color="auto" w:fill="BFBFBF"/>
            <w:vAlign w:val="center"/>
          </w:tcPr>
          <w:p w14:paraId="4C8CD2DE"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External Reviewers</w:t>
            </w:r>
          </w:p>
        </w:tc>
        <w:tc>
          <w:tcPr>
            <w:tcW w:w="6804" w:type="dxa"/>
            <w:vAlign w:val="center"/>
          </w:tcPr>
          <w:p w14:paraId="51825A1A" w14:textId="77777777" w:rsidR="004F0E58" w:rsidRPr="004F0E58" w:rsidRDefault="004F0E58" w:rsidP="004F0E58">
            <w:pPr>
              <w:widowControl w:val="0"/>
              <w:rPr>
                <w:rFonts w:eastAsia="Calibri"/>
                <w:bCs/>
                <w:kern w:val="0"/>
                <w14:ligatures w14:val="none"/>
              </w:rPr>
            </w:pPr>
            <w:r w:rsidRPr="004F0E58">
              <w:rPr>
                <w:rFonts w:eastAsia="Calibri" w:cs="Times New Roman"/>
                <w:kern w:val="0"/>
                <w14:ligatures w14:val="none"/>
              </w:rPr>
              <w:t xml:space="preserve">Dr. Wendy Chan, </w:t>
            </w:r>
            <w:r w:rsidRPr="004F0E58">
              <w:rPr>
                <w:rFonts w:eastAsia="Calibri"/>
                <w:bCs/>
                <w:kern w:val="0"/>
                <w14:ligatures w14:val="none"/>
              </w:rPr>
              <w:t>Simon Fraser University</w:t>
            </w:r>
          </w:p>
          <w:p w14:paraId="10C76DEA" w14:textId="77777777" w:rsidR="004F0E58" w:rsidRPr="004F0E58" w:rsidRDefault="004F0E58" w:rsidP="004F0E58">
            <w:pPr>
              <w:widowControl w:val="0"/>
              <w:rPr>
                <w:rFonts w:eastAsia="Calibri"/>
                <w:bCs/>
                <w:kern w:val="0"/>
                <w14:ligatures w14:val="none"/>
              </w:rPr>
            </w:pPr>
            <w:r w:rsidRPr="004F0E58">
              <w:rPr>
                <w:rFonts w:eastAsia="Calibri" w:cs="Times New Roman"/>
                <w:kern w:val="0"/>
                <w14:ligatures w14:val="none"/>
              </w:rPr>
              <w:t>Dr. Ryan Broll, University of Guelph</w:t>
            </w:r>
          </w:p>
        </w:tc>
      </w:tr>
      <w:tr w:rsidR="004F0E58" w:rsidRPr="004F0E58" w14:paraId="0D164EB2" w14:textId="77777777" w:rsidTr="004F0E58">
        <w:trPr>
          <w:trHeight w:val="458"/>
        </w:trPr>
        <w:tc>
          <w:tcPr>
            <w:tcW w:w="3261" w:type="dxa"/>
            <w:shd w:val="clear" w:color="auto" w:fill="BFBFBF"/>
            <w:vAlign w:val="center"/>
          </w:tcPr>
          <w:p w14:paraId="5125C71C"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Internal Representative</w:t>
            </w:r>
          </w:p>
        </w:tc>
        <w:tc>
          <w:tcPr>
            <w:tcW w:w="6804" w:type="dxa"/>
            <w:vAlign w:val="center"/>
          </w:tcPr>
          <w:p w14:paraId="315460E7" w14:textId="77777777" w:rsidR="004F0E58" w:rsidRPr="004F0E58" w:rsidRDefault="004F0E58" w:rsidP="004F0E58">
            <w:pPr>
              <w:widowControl w:val="0"/>
              <w:tabs>
                <w:tab w:val="left" w:pos="3969"/>
              </w:tabs>
              <w:rPr>
                <w:rFonts w:eastAsia="Times New Roman"/>
                <w:kern w:val="0"/>
                <w14:ligatures w14:val="none"/>
              </w:rPr>
            </w:pPr>
            <w:bookmarkStart w:id="0" w:name="_Hlk197336851"/>
            <w:r w:rsidRPr="004F0E58">
              <w:rPr>
                <w:rFonts w:eastAsia="Calibri"/>
                <w:bCs/>
                <w:kern w:val="0"/>
                <w14:ligatures w14:val="none"/>
              </w:rPr>
              <w:t>Dr. Byron Stoyles, P</w:t>
            </w:r>
            <w:r w:rsidRPr="004F0E58">
              <w:rPr>
                <w:rFonts w:eastAsia="Calibri" w:cs="Times New Roman"/>
                <w:bCs/>
                <w:kern w:val="0"/>
                <w14:ligatures w14:val="none"/>
              </w:rPr>
              <w:t xml:space="preserve">hilosophy, </w:t>
            </w:r>
            <w:r w:rsidRPr="004F0E58">
              <w:rPr>
                <w:rFonts w:eastAsia="Calibri"/>
                <w:bCs/>
                <w:kern w:val="0"/>
                <w14:ligatures w14:val="none"/>
              </w:rPr>
              <w:t>Trent University</w:t>
            </w:r>
            <w:bookmarkEnd w:id="0"/>
          </w:p>
        </w:tc>
      </w:tr>
      <w:tr w:rsidR="004F0E58" w:rsidRPr="004F0E58" w14:paraId="6A0099DA" w14:textId="77777777" w:rsidTr="004F0E58">
        <w:trPr>
          <w:trHeight w:val="440"/>
        </w:trPr>
        <w:tc>
          <w:tcPr>
            <w:tcW w:w="3261" w:type="dxa"/>
            <w:shd w:val="clear" w:color="auto" w:fill="BFBFBF"/>
            <w:vAlign w:val="center"/>
          </w:tcPr>
          <w:p w14:paraId="2BD5AECC"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Year of Review</w:t>
            </w:r>
          </w:p>
        </w:tc>
        <w:tc>
          <w:tcPr>
            <w:tcW w:w="6804" w:type="dxa"/>
            <w:vAlign w:val="center"/>
          </w:tcPr>
          <w:p w14:paraId="3F9FA16D" w14:textId="77777777" w:rsidR="004F0E58" w:rsidRPr="004F0E58" w:rsidRDefault="004F0E58" w:rsidP="004F0E58">
            <w:pPr>
              <w:widowControl w:val="0"/>
              <w:tabs>
                <w:tab w:val="left" w:pos="3969"/>
              </w:tabs>
              <w:rPr>
                <w:rFonts w:eastAsia="Times New Roman"/>
                <w:kern w:val="0"/>
                <w14:ligatures w14:val="none"/>
              </w:rPr>
            </w:pPr>
            <w:r w:rsidRPr="004F0E58">
              <w:rPr>
                <w:rFonts w:eastAsia="Times New Roman"/>
                <w:kern w:val="0"/>
                <w14:ligatures w14:val="none"/>
              </w:rPr>
              <w:t>2024 – 2025</w:t>
            </w:r>
          </w:p>
        </w:tc>
      </w:tr>
      <w:tr w:rsidR="004F0E58" w:rsidRPr="004F0E58" w14:paraId="1D4A6781" w14:textId="77777777" w:rsidTr="004F0E58">
        <w:trPr>
          <w:trHeight w:val="512"/>
        </w:trPr>
        <w:tc>
          <w:tcPr>
            <w:tcW w:w="3261" w:type="dxa"/>
            <w:shd w:val="clear" w:color="auto" w:fill="BFBFBF"/>
            <w:vAlign w:val="center"/>
          </w:tcPr>
          <w:p w14:paraId="341B366F"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Date of Site Visit</w:t>
            </w:r>
          </w:p>
        </w:tc>
        <w:tc>
          <w:tcPr>
            <w:tcW w:w="6804" w:type="dxa"/>
            <w:vAlign w:val="center"/>
          </w:tcPr>
          <w:p w14:paraId="13040BEE" w14:textId="77777777" w:rsidR="004F0E58" w:rsidRPr="004F0E58" w:rsidRDefault="004F0E58" w:rsidP="004F0E58">
            <w:pPr>
              <w:widowControl w:val="0"/>
              <w:tabs>
                <w:tab w:val="left" w:pos="3969"/>
              </w:tabs>
              <w:rPr>
                <w:rFonts w:eastAsia="Times New Roman"/>
                <w:kern w:val="0"/>
                <w14:ligatures w14:val="none"/>
              </w:rPr>
            </w:pPr>
            <w:bookmarkStart w:id="1" w:name="_Hlk197336863"/>
            <w:r w:rsidRPr="004F0E58">
              <w:rPr>
                <w:rFonts w:eastAsia="Times New Roman" w:cs="Arial"/>
                <w:kern w:val="0"/>
                <w14:ligatures w14:val="none"/>
              </w:rPr>
              <w:t>March 27 – 28, 2025</w:t>
            </w:r>
            <w:bookmarkEnd w:id="1"/>
          </w:p>
        </w:tc>
      </w:tr>
      <w:tr w:rsidR="004F0E58" w:rsidRPr="004F0E58" w14:paraId="2C14B8E1" w14:textId="77777777" w:rsidTr="004F0E58">
        <w:tc>
          <w:tcPr>
            <w:tcW w:w="3261" w:type="dxa"/>
            <w:shd w:val="clear" w:color="auto" w:fill="BFBFBF"/>
            <w:vAlign w:val="center"/>
          </w:tcPr>
          <w:p w14:paraId="4A7182A0"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Due Date for Implementation Report from the Program</w:t>
            </w:r>
          </w:p>
        </w:tc>
        <w:tc>
          <w:tcPr>
            <w:tcW w:w="6804" w:type="dxa"/>
            <w:shd w:val="clear" w:color="auto" w:fill="FFFFFF"/>
            <w:vAlign w:val="center"/>
          </w:tcPr>
          <w:p w14:paraId="7FAD07E4" w14:textId="77777777" w:rsidR="004F0E58" w:rsidRPr="004F0E58" w:rsidRDefault="004F0E58" w:rsidP="004F0E58">
            <w:pPr>
              <w:widowControl w:val="0"/>
              <w:tabs>
                <w:tab w:val="left" w:pos="3969"/>
              </w:tabs>
              <w:rPr>
                <w:rFonts w:eastAsia="Times New Roman"/>
                <w:kern w:val="0"/>
                <w14:ligatures w14:val="none"/>
              </w:rPr>
            </w:pPr>
            <w:r w:rsidRPr="004F0E58">
              <w:rPr>
                <w:rFonts w:eastAsia="Times New Roman"/>
                <w:kern w:val="0"/>
                <w14:ligatures w14:val="none"/>
              </w:rPr>
              <w:t>November 1, 2026</w:t>
            </w:r>
          </w:p>
        </w:tc>
      </w:tr>
      <w:tr w:rsidR="004F0E58" w:rsidRPr="004F0E58" w14:paraId="34FD5B5A" w14:textId="77777777" w:rsidTr="004F0E58">
        <w:trPr>
          <w:trHeight w:val="519"/>
        </w:trPr>
        <w:tc>
          <w:tcPr>
            <w:tcW w:w="3261" w:type="dxa"/>
            <w:shd w:val="clear" w:color="auto" w:fill="BFBFBF"/>
            <w:vAlign w:val="center"/>
          </w:tcPr>
          <w:p w14:paraId="32055DBD"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Date Prepared by CPRC</w:t>
            </w:r>
          </w:p>
        </w:tc>
        <w:tc>
          <w:tcPr>
            <w:tcW w:w="6804" w:type="dxa"/>
            <w:vAlign w:val="center"/>
          </w:tcPr>
          <w:p w14:paraId="12E9F8E0" w14:textId="77777777" w:rsidR="004F0E58" w:rsidRPr="004F0E58" w:rsidRDefault="004F0E58" w:rsidP="004F0E58">
            <w:pPr>
              <w:widowControl w:val="0"/>
              <w:tabs>
                <w:tab w:val="left" w:pos="3969"/>
              </w:tabs>
              <w:rPr>
                <w:rFonts w:eastAsia="Times New Roman"/>
                <w:kern w:val="0"/>
                <w14:ligatures w14:val="none"/>
              </w:rPr>
            </w:pPr>
            <w:r w:rsidRPr="004F0E58">
              <w:rPr>
                <w:rFonts w:eastAsia="Times New Roman"/>
                <w:kern w:val="0"/>
                <w14:ligatures w14:val="none"/>
              </w:rPr>
              <w:t>October 15, 2025</w:t>
            </w:r>
          </w:p>
        </w:tc>
      </w:tr>
      <w:tr w:rsidR="004F0E58" w:rsidRPr="004F0E58" w14:paraId="4D6217E1" w14:textId="77777777" w:rsidTr="004F0E58">
        <w:tc>
          <w:tcPr>
            <w:tcW w:w="3261" w:type="dxa"/>
            <w:shd w:val="clear" w:color="auto" w:fill="BFBFBF"/>
            <w:vAlign w:val="center"/>
          </w:tcPr>
          <w:p w14:paraId="76A66B73"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Date Approved by Provost &amp; VP Academic</w:t>
            </w:r>
          </w:p>
        </w:tc>
        <w:tc>
          <w:tcPr>
            <w:tcW w:w="6804" w:type="dxa"/>
            <w:vAlign w:val="center"/>
          </w:tcPr>
          <w:p w14:paraId="69752039" w14:textId="77777777" w:rsidR="004F0E58" w:rsidRPr="004F0E58" w:rsidRDefault="004F0E58" w:rsidP="004F0E58">
            <w:pPr>
              <w:widowControl w:val="0"/>
              <w:tabs>
                <w:tab w:val="left" w:pos="3969"/>
              </w:tabs>
              <w:rPr>
                <w:rFonts w:eastAsia="Times New Roman"/>
                <w:bCs/>
                <w:kern w:val="0"/>
                <w14:ligatures w14:val="none"/>
              </w:rPr>
            </w:pPr>
            <w:r w:rsidRPr="004F0E58">
              <w:rPr>
                <w:rFonts w:eastAsia="Times New Roman"/>
                <w:bCs/>
                <w:kern w:val="0"/>
                <w14:ligatures w14:val="none"/>
              </w:rPr>
              <w:t>October 20, 2025</w:t>
            </w:r>
          </w:p>
        </w:tc>
      </w:tr>
      <w:tr w:rsidR="004F0E58" w:rsidRPr="004F0E58" w14:paraId="0EF186A7" w14:textId="77777777" w:rsidTr="004F0E58">
        <w:trPr>
          <w:trHeight w:val="593"/>
        </w:trPr>
        <w:tc>
          <w:tcPr>
            <w:tcW w:w="3261" w:type="dxa"/>
            <w:shd w:val="clear" w:color="auto" w:fill="BFBFBF"/>
            <w:vAlign w:val="center"/>
          </w:tcPr>
          <w:p w14:paraId="473ADF2A" w14:textId="77777777" w:rsidR="004F0E58" w:rsidRPr="004F0E58" w:rsidRDefault="004F0E58" w:rsidP="004F0E58">
            <w:pPr>
              <w:widowControl w:val="0"/>
              <w:tabs>
                <w:tab w:val="left" w:pos="3969"/>
              </w:tabs>
              <w:rPr>
                <w:rFonts w:eastAsia="Times New Roman"/>
                <w:b/>
                <w:kern w:val="0"/>
                <w14:ligatures w14:val="none"/>
              </w:rPr>
            </w:pPr>
            <w:r w:rsidRPr="004F0E58">
              <w:rPr>
                <w:rFonts w:eastAsia="Times New Roman"/>
                <w:b/>
                <w:kern w:val="0"/>
                <w14:ligatures w14:val="none"/>
              </w:rPr>
              <w:t>Signature of Provost &amp; VP Academic</w:t>
            </w:r>
          </w:p>
        </w:tc>
        <w:tc>
          <w:tcPr>
            <w:tcW w:w="6804" w:type="dxa"/>
          </w:tcPr>
          <w:p w14:paraId="38903296" w14:textId="77777777" w:rsidR="004F0E58" w:rsidRPr="004F0E58" w:rsidRDefault="004F0E58" w:rsidP="004F0E58">
            <w:pPr>
              <w:widowControl w:val="0"/>
              <w:tabs>
                <w:tab w:val="left" w:pos="3969"/>
              </w:tabs>
              <w:rPr>
                <w:rFonts w:eastAsia="Times New Roman"/>
                <w:b/>
                <w:kern w:val="0"/>
                <w:sz w:val="20"/>
                <w:szCs w:val="20"/>
                <w14:ligatures w14:val="none"/>
              </w:rPr>
            </w:pPr>
            <w:r w:rsidRPr="004F0E58">
              <w:rPr>
                <w:rFonts w:eastAsia="Times New Roman"/>
                <w:b/>
                <w:noProof/>
                <w:kern w:val="0"/>
                <w:sz w:val="20"/>
                <w:szCs w:val="20"/>
                <w14:ligatures w14:val="none"/>
              </w:rPr>
              <w:drawing>
                <wp:inline distT="0" distB="0" distL="0" distR="0" wp14:anchorId="77BF5650" wp14:editId="025F3AE5">
                  <wp:extent cx="1562100" cy="431039"/>
                  <wp:effectExtent l="0" t="0" r="0" b="7620"/>
                  <wp:docPr id="1329830706" name="Picture 1" descr="A signature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30706" name="Picture 1" descr="A signature of a bird&#10;&#10;AI-generated content may be incorrect."/>
                          <pic:cNvPicPr/>
                        </pic:nvPicPr>
                        <pic:blipFill>
                          <a:blip r:embed="rId6"/>
                          <a:stretch>
                            <a:fillRect/>
                          </a:stretch>
                        </pic:blipFill>
                        <pic:spPr>
                          <a:xfrm>
                            <a:off x="0" y="0"/>
                            <a:ext cx="1586961" cy="437899"/>
                          </a:xfrm>
                          <a:prstGeom prst="rect">
                            <a:avLst/>
                          </a:prstGeom>
                        </pic:spPr>
                      </pic:pic>
                    </a:graphicData>
                  </a:graphic>
                </wp:inline>
              </w:drawing>
            </w:r>
          </w:p>
        </w:tc>
      </w:tr>
    </w:tbl>
    <w:p w14:paraId="62C76632" w14:textId="77777777" w:rsidR="004F0E58" w:rsidRPr="004F0E58" w:rsidRDefault="004F0E58" w:rsidP="004F0E58">
      <w:pPr>
        <w:widowControl w:val="0"/>
        <w:rPr>
          <w:rFonts w:eastAsia="Calibri"/>
          <w:kern w:val="0"/>
          <w:lang w:val="en-US"/>
          <w14:ligatures w14:val="none"/>
        </w:rPr>
      </w:pPr>
    </w:p>
    <w:p w14:paraId="16A8687B" w14:textId="77777777" w:rsidR="004F0E58" w:rsidRPr="004F0E58" w:rsidRDefault="004F0E58" w:rsidP="004F0E58">
      <w:pPr>
        <w:widowControl w:val="0"/>
        <w:rPr>
          <w:rFonts w:eastAsia="Calibri"/>
          <w:color w:val="000000"/>
          <w:kern w:val="0"/>
          <w14:ligatures w14:val="none"/>
        </w:rPr>
      </w:pPr>
      <w:r w:rsidRPr="004F0E58">
        <w:rPr>
          <w:rFonts w:eastAsia="Calibri"/>
          <w:kern w:val="0"/>
          <w:lang w:val="en-US"/>
          <w14:ligatures w14:val="none"/>
        </w:rPr>
        <w:t xml:space="preserve">Trent University's </w:t>
      </w:r>
      <w:r w:rsidRPr="004F0E58">
        <w:rPr>
          <w:rFonts w:eastAsia="Calibri"/>
          <w:kern w:val="0"/>
          <w14:ligatures w14:val="none"/>
        </w:rPr>
        <w:t>Sociology Department offers two undergraduate degrees – a BA in Sociology and a BA in Criminology, both available at the Peterborough and Durham GTA campuses. The Sociology program offers specializations in Health, Social Justice and Equity, and Socio-Legal Studies. The Criminology program can be completed in person, as a hybrid, or fully online.</w:t>
      </w:r>
    </w:p>
    <w:p w14:paraId="55BCE1C4" w14:textId="77777777" w:rsidR="004F0E58" w:rsidRPr="004F0E58" w:rsidRDefault="004F0E58" w:rsidP="004F0E58">
      <w:pPr>
        <w:widowControl w:val="0"/>
        <w:rPr>
          <w:rFonts w:eastAsia="Calibri"/>
          <w:kern w:val="0"/>
          <w14:ligatures w14:val="none"/>
        </w:rPr>
      </w:pPr>
    </w:p>
    <w:p w14:paraId="4A2E070D" w14:textId="77777777" w:rsidR="004F0E58" w:rsidRPr="004F0E58" w:rsidRDefault="004F0E58" w:rsidP="004F0E58">
      <w:pPr>
        <w:widowControl w:val="0"/>
        <w:rPr>
          <w:rFonts w:eastAsia="Calibri"/>
          <w:kern w:val="0"/>
          <w14:ligatures w14:val="none"/>
        </w:rPr>
      </w:pPr>
      <w:r w:rsidRPr="004F0E58">
        <w:rPr>
          <w:rFonts w:eastAsia="Calibri"/>
          <w:kern w:val="0"/>
          <w14:ligatures w14:val="none"/>
        </w:rPr>
        <w:t>Students in both programs are encouraged to think critically about the relationships between individuals, groups, institutions, and societies. Through a focus on topics such as class, gender, race, work, health, culture, and migration, students explore the structures and consequences of social life. The Department emphasizes hands-on learning, offering opportunities to engage in original research alongside faculty experts in areas including aging, law, medicine, popular culture, and sexuality.</w:t>
      </w:r>
    </w:p>
    <w:p w14:paraId="62D1584F" w14:textId="77777777" w:rsidR="004F0E58" w:rsidRPr="004F0E58" w:rsidRDefault="004F0E58" w:rsidP="004F0E58">
      <w:pPr>
        <w:widowControl w:val="0"/>
        <w:rPr>
          <w:rFonts w:eastAsia="Calibri"/>
          <w:kern w:val="0"/>
          <w14:ligatures w14:val="none"/>
        </w:rPr>
      </w:pPr>
    </w:p>
    <w:p w14:paraId="1435BFB2" w14:textId="77777777" w:rsidR="004F0E58" w:rsidRPr="004F0E58" w:rsidRDefault="004F0E58" w:rsidP="004F0E58">
      <w:pPr>
        <w:widowControl w:val="0"/>
        <w:rPr>
          <w:rFonts w:eastAsia="Calibri"/>
          <w:kern w:val="0"/>
          <w14:ligatures w14:val="none"/>
        </w:rPr>
      </w:pPr>
      <w:r w:rsidRPr="004F0E58">
        <w:rPr>
          <w:rFonts w:eastAsia="Calibri"/>
          <w:kern w:val="0"/>
          <w14:ligatures w14:val="none"/>
        </w:rPr>
        <w:t>The Department of Sociology offers a variety of BA degree options at both Peterborough’s Symons campus and the Durham/GTA campus, including the following: the single major Honours program, the joint major Honours program, the single major General program, the joint major General program, and a minor in Sociology.</w:t>
      </w:r>
    </w:p>
    <w:p w14:paraId="6D07BFD7" w14:textId="77777777" w:rsidR="004F0E58" w:rsidRPr="004F0E58" w:rsidRDefault="004F0E58" w:rsidP="004F0E58">
      <w:pPr>
        <w:widowControl w:val="0"/>
        <w:rPr>
          <w:rFonts w:eastAsia="Calibri"/>
          <w:kern w:val="0"/>
          <w14:ligatures w14:val="none"/>
        </w:rPr>
      </w:pPr>
    </w:p>
    <w:p w14:paraId="5D579370" w14:textId="77777777" w:rsidR="004F0E58" w:rsidRPr="004F0E58" w:rsidRDefault="004F0E58" w:rsidP="004F0E58">
      <w:pPr>
        <w:widowControl w:val="0"/>
        <w:rPr>
          <w:rFonts w:eastAsia="Calibri"/>
          <w:kern w:val="0"/>
          <w14:ligatures w14:val="none"/>
        </w:rPr>
      </w:pPr>
      <w:r w:rsidRPr="004F0E58">
        <w:rPr>
          <w:rFonts w:eastAsia="Times New Roman"/>
          <w:kern w:val="0"/>
          <w:lang w:val="en-US"/>
          <w14:ligatures w14:val="none"/>
        </w:rPr>
        <w:t xml:space="preserve">In the upper years, Criminology students focus on progressive law and policy reforms—such as restorative justice—shaped by Indigenous knowledge, critical aging studies, and feminist anti-violence research. Through experiential learning, students build skills in digital literacy, legal and policy analysis, data interpretation, and developing community-based responses, social inequality and harm. </w:t>
      </w:r>
    </w:p>
    <w:p w14:paraId="03C0251B" w14:textId="77777777" w:rsidR="004F0E58" w:rsidRPr="004F0E58" w:rsidRDefault="004F0E58" w:rsidP="004F0E58">
      <w:pPr>
        <w:widowControl w:val="0"/>
        <w:rPr>
          <w:rFonts w:eastAsia="Times New Roman"/>
          <w:b/>
          <w:kern w:val="0"/>
          <w14:ligatures w14:val="none"/>
        </w:rPr>
      </w:pPr>
    </w:p>
    <w:p w14:paraId="7D5C221F" w14:textId="77777777" w:rsidR="004F0E58" w:rsidRPr="004F0E58" w:rsidRDefault="004F0E58" w:rsidP="004F0E58">
      <w:pPr>
        <w:widowControl w:val="0"/>
        <w:rPr>
          <w:rFonts w:eastAsia="Times New Roman"/>
          <w:b/>
          <w:kern w:val="0"/>
          <w14:ligatures w14:val="none"/>
        </w:rPr>
      </w:pPr>
      <w:r w:rsidRPr="004F0E58">
        <w:rPr>
          <w:rFonts w:eastAsia="Times New Roman"/>
          <w:b/>
          <w:kern w:val="0"/>
          <w14:ligatures w14:val="none"/>
        </w:rPr>
        <w:t>Summary of Process</w:t>
      </w:r>
    </w:p>
    <w:p w14:paraId="5295EAA2" w14:textId="77777777" w:rsidR="004F0E58" w:rsidRPr="004F0E58" w:rsidRDefault="004F0E58" w:rsidP="004F0E58">
      <w:pPr>
        <w:widowControl w:val="0"/>
        <w:tabs>
          <w:tab w:val="left" w:pos="3969"/>
        </w:tabs>
        <w:rPr>
          <w:rFonts w:eastAsia="Times New Roman"/>
          <w:kern w:val="0"/>
          <w14:ligatures w14:val="none"/>
        </w:rPr>
      </w:pPr>
    </w:p>
    <w:p w14:paraId="5C572DEE" w14:textId="77777777" w:rsidR="004F0E58" w:rsidRPr="004F0E58" w:rsidRDefault="004F0E58" w:rsidP="004F0E58">
      <w:pPr>
        <w:widowControl w:val="0"/>
        <w:rPr>
          <w:rFonts w:eastAsia="Calibri"/>
          <w:bCs/>
          <w:kern w:val="0"/>
          <w14:ligatures w14:val="none"/>
        </w:rPr>
      </w:pPr>
      <w:r w:rsidRPr="004F0E58">
        <w:rPr>
          <w:rFonts w:eastAsia="Calibri"/>
          <w:kern w:val="0"/>
          <w:lang w:val="en-US" w:eastAsia="zh-CN"/>
          <w14:ligatures w14:val="none"/>
        </w:rPr>
        <w:t xml:space="preserve">During the 2024-2025 academic year, the </w:t>
      </w:r>
      <w:r w:rsidRPr="004F0E58">
        <w:rPr>
          <w:rFonts w:eastAsia="Calibri"/>
          <w:bCs/>
          <w:kern w:val="0"/>
          <w:lang w:eastAsia="zh-CN"/>
          <w14:ligatures w14:val="none"/>
        </w:rPr>
        <w:t xml:space="preserve">SOCI/CRIM programs </w:t>
      </w:r>
      <w:r w:rsidRPr="004F0E58">
        <w:rPr>
          <w:rFonts w:eastAsia="Calibri"/>
          <w:kern w:val="0"/>
          <w:lang w:val="en-US" w:eastAsia="zh-CN"/>
          <w14:ligatures w14:val="none"/>
        </w:rPr>
        <w:t>underwent a review.</w:t>
      </w:r>
      <w:r w:rsidRPr="004F0E58">
        <w:rPr>
          <w:rFonts w:eastAsia="Times New Roman"/>
          <w:kern w:val="0"/>
          <w:lang w:val="en-US"/>
          <w14:ligatures w14:val="none"/>
        </w:rPr>
        <w:t xml:space="preserve"> Two </w:t>
      </w:r>
      <w:r w:rsidRPr="004F0E58">
        <w:rPr>
          <w:rFonts w:eastAsia="Times New Roman"/>
          <w:noProof/>
          <w:kern w:val="0"/>
          <w:lang w:val="en-US"/>
          <w14:ligatures w14:val="none"/>
        </w:rPr>
        <w:t>arm</w:t>
      </w:r>
      <w:r w:rsidRPr="004F0E58">
        <w:rPr>
          <w:rFonts w:eastAsia="Times New Roman"/>
          <w:kern w:val="0"/>
          <w:lang w:val="en-US"/>
          <w14:ligatures w14:val="none"/>
        </w:rPr>
        <w:t>’s-length external reviewers (</w:t>
      </w:r>
      <w:r w:rsidRPr="004F0E58">
        <w:rPr>
          <w:rFonts w:eastAsia="Calibri"/>
          <w:kern w:val="0"/>
          <w14:ligatures w14:val="none"/>
        </w:rPr>
        <w:t xml:space="preserve">Dr. Wendy Chan, </w:t>
      </w:r>
      <w:r w:rsidRPr="004F0E58">
        <w:rPr>
          <w:rFonts w:eastAsia="Calibri"/>
          <w:bCs/>
          <w:kern w:val="0"/>
          <w14:ligatures w14:val="none"/>
        </w:rPr>
        <w:t xml:space="preserve">Simon Fraser University and </w:t>
      </w:r>
      <w:r w:rsidRPr="004F0E58">
        <w:rPr>
          <w:rFonts w:eastAsia="Calibri"/>
          <w:kern w:val="0"/>
          <w14:ligatures w14:val="none"/>
        </w:rPr>
        <w:t>Dr. Ryan Broll, University of Guelph</w:t>
      </w:r>
      <w:r w:rsidRPr="004F0E58">
        <w:rPr>
          <w:rFonts w:eastAsia="Times New Roman"/>
          <w:kern w:val="0"/>
          <w14:ligatures w14:val="none"/>
        </w:rPr>
        <w:t>) and one internal</w:t>
      </w:r>
      <w:r w:rsidRPr="004F0E58">
        <w:rPr>
          <w:rFonts w:eastAsia="Times New Roman"/>
          <w:kern w:val="0"/>
          <w:lang w:val="en-US"/>
          <w14:ligatures w14:val="none"/>
        </w:rPr>
        <w:t xml:space="preserve"> representative (</w:t>
      </w:r>
      <w:r w:rsidRPr="004F0E58">
        <w:rPr>
          <w:rFonts w:eastAsia="Calibri"/>
          <w:bCs/>
          <w:kern w:val="0"/>
          <w14:ligatures w14:val="none"/>
        </w:rPr>
        <w:t xml:space="preserve">Dr. Byron Stoles, Philosophy, Trent University) </w:t>
      </w:r>
      <w:r w:rsidRPr="004F0E58">
        <w:rPr>
          <w:rFonts w:eastAsia="Times New Roman"/>
          <w:kern w:val="0"/>
          <w:lang w:val="en-US"/>
          <w14:ligatures w14:val="none"/>
        </w:rPr>
        <w:t xml:space="preserve">were invited to review the </w:t>
      </w:r>
      <w:proofErr w:type="spellStart"/>
      <w:r w:rsidRPr="004F0E58">
        <w:rPr>
          <w:rFonts w:eastAsia="Times New Roman"/>
          <w:kern w:val="0"/>
          <w:lang w:val="en-US"/>
          <w14:ligatures w14:val="none"/>
        </w:rPr>
        <w:t>self study</w:t>
      </w:r>
      <w:proofErr w:type="spellEnd"/>
      <w:r w:rsidRPr="004F0E58">
        <w:rPr>
          <w:rFonts w:eastAsia="Times New Roman"/>
          <w:kern w:val="0"/>
          <w:lang w:val="en-US"/>
          <w14:ligatures w14:val="none"/>
        </w:rPr>
        <w:t xml:space="preserve"> documentation. The site visit took place on </w:t>
      </w:r>
      <w:r w:rsidRPr="004F0E58">
        <w:rPr>
          <w:rFonts w:eastAsia="Times New Roman"/>
          <w:kern w:val="0"/>
          <w14:ligatures w14:val="none"/>
        </w:rPr>
        <w:t>March 27 – 28, 2025</w:t>
      </w:r>
      <w:r w:rsidRPr="004F0E58">
        <w:rPr>
          <w:rFonts w:eastAsia="Times New Roman"/>
          <w:kern w:val="0"/>
          <w:lang w:val="en-US"/>
          <w14:ligatures w14:val="none"/>
        </w:rPr>
        <w:t>.</w:t>
      </w:r>
    </w:p>
    <w:p w14:paraId="1789DE94" w14:textId="77777777" w:rsidR="004F0E58" w:rsidRPr="004F0E58" w:rsidRDefault="004F0E58" w:rsidP="004F0E58">
      <w:pPr>
        <w:widowControl w:val="0"/>
        <w:tabs>
          <w:tab w:val="left" w:pos="3969"/>
        </w:tabs>
        <w:rPr>
          <w:rFonts w:eastAsia="Times New Roman"/>
          <w:kern w:val="0"/>
          <w:highlight w:val="yellow"/>
          <w14:ligatures w14:val="none"/>
        </w:rPr>
      </w:pPr>
    </w:p>
    <w:p w14:paraId="1F2C8273" w14:textId="77777777" w:rsidR="004F0E58" w:rsidRPr="004F0E58" w:rsidRDefault="004F0E58" w:rsidP="004F0E58">
      <w:pPr>
        <w:widowControl w:val="0"/>
        <w:tabs>
          <w:tab w:val="left" w:pos="3969"/>
        </w:tabs>
        <w:rPr>
          <w:rFonts w:eastAsia="Times New Roman"/>
          <w:kern w:val="0"/>
          <w14:ligatures w14:val="none"/>
        </w:rPr>
      </w:pPr>
      <w:r w:rsidRPr="004F0E58">
        <w:rPr>
          <w:rFonts w:eastAsia="Times New Roman"/>
          <w:kern w:val="0"/>
          <w14:ligatures w14:val="none"/>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4F0E58">
        <w:rPr>
          <w:rFonts w:eastAsia="Times New Roman"/>
          <w:kern w:val="0"/>
          <w:u w:val="single"/>
          <w14:ligatures w14:val="none"/>
        </w:rPr>
        <w:t>Program’s Self Study</w:t>
      </w:r>
      <w:r w:rsidRPr="004F0E58">
        <w:rPr>
          <w:rFonts w:eastAsia="Times New Roman"/>
          <w:kern w:val="0"/>
          <w14:ligatures w14:val="none"/>
        </w:rPr>
        <w:t xml:space="preserve">, the </w:t>
      </w:r>
      <w:r w:rsidRPr="004F0E58">
        <w:rPr>
          <w:rFonts w:eastAsia="Times New Roman"/>
          <w:kern w:val="0"/>
          <w:u w:val="single"/>
          <w14:ligatures w14:val="none"/>
        </w:rPr>
        <w:t>External Reviewers’ Report</w:t>
      </w:r>
      <w:r w:rsidRPr="004F0E58">
        <w:rPr>
          <w:rFonts w:eastAsia="Times New Roman"/>
          <w:kern w:val="0"/>
          <w14:ligatures w14:val="none"/>
        </w:rPr>
        <w:t xml:space="preserve">, the </w:t>
      </w:r>
      <w:r w:rsidRPr="004F0E58">
        <w:rPr>
          <w:rFonts w:eastAsia="Times New Roman"/>
          <w:kern w:val="0"/>
          <w:u w:val="single"/>
          <w14:ligatures w14:val="none"/>
        </w:rPr>
        <w:t>Program Responses</w:t>
      </w:r>
      <w:r w:rsidRPr="004F0E58">
        <w:rPr>
          <w:rFonts w:eastAsia="Times New Roman"/>
          <w:kern w:val="0"/>
          <w14:ligatures w14:val="none"/>
        </w:rPr>
        <w:t xml:space="preserve">, and the </w:t>
      </w:r>
      <w:r w:rsidRPr="004F0E58">
        <w:rPr>
          <w:rFonts w:eastAsia="Times New Roman"/>
          <w:kern w:val="0"/>
          <w:u w:val="single"/>
          <w14:ligatures w14:val="none"/>
        </w:rPr>
        <w:t>Decanal Responses</w:t>
      </w:r>
      <w:r w:rsidRPr="004F0E58">
        <w:rPr>
          <w:rFonts w:eastAsia="Times New Roman"/>
          <w:kern w:val="0"/>
          <w14:ligatures w14:val="none"/>
        </w:rPr>
        <w:t xml:space="preserve">. </w:t>
      </w:r>
    </w:p>
    <w:p w14:paraId="09952F7A" w14:textId="77777777" w:rsidR="004F0E58" w:rsidRPr="004F0E58" w:rsidRDefault="004F0E58" w:rsidP="004F0E58">
      <w:pPr>
        <w:widowControl w:val="0"/>
        <w:tabs>
          <w:tab w:val="left" w:pos="3969"/>
        </w:tabs>
        <w:rPr>
          <w:rFonts w:eastAsia="Times New Roman"/>
          <w:kern w:val="0"/>
          <w14:ligatures w14:val="none"/>
        </w:rPr>
      </w:pPr>
    </w:p>
    <w:p w14:paraId="3B4B098D" w14:textId="77777777" w:rsidR="004F0E58" w:rsidRPr="004F0E58" w:rsidRDefault="004F0E58" w:rsidP="004F0E58">
      <w:pPr>
        <w:widowControl w:val="0"/>
        <w:rPr>
          <w:rFonts w:eastAsia="Times New Roman"/>
          <w:kern w:val="0"/>
          <w14:ligatures w14:val="none"/>
        </w:rPr>
      </w:pPr>
      <w:r w:rsidRPr="004F0E58">
        <w:rPr>
          <w:rFonts w:eastAsia="Times New Roman"/>
          <w:kern w:val="0"/>
          <w14:ligatures w14:val="none"/>
        </w:rPr>
        <w:t>A summary of the review process is as follows: the academic unit completed a self 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 study, appendices, and IQAP policy) and participation in a site-visit. During the site visit, reviewers met with senior administration, faculty, students, and staff.</w:t>
      </w:r>
    </w:p>
    <w:p w14:paraId="48BA42D5" w14:textId="77777777" w:rsidR="004F0E58" w:rsidRPr="004F0E58" w:rsidRDefault="004F0E58" w:rsidP="004F0E58">
      <w:pPr>
        <w:widowControl w:val="0"/>
        <w:rPr>
          <w:rFonts w:eastAsia="Times New Roman"/>
          <w:kern w:val="0"/>
          <w:highlight w:val="yellow"/>
          <w14:ligatures w14:val="none"/>
        </w:rPr>
      </w:pPr>
    </w:p>
    <w:p w14:paraId="2CA2D2B3" w14:textId="77777777" w:rsidR="004F0E58" w:rsidRPr="004F0E58" w:rsidRDefault="004F0E58" w:rsidP="004F0E58">
      <w:pPr>
        <w:widowControl w:val="0"/>
        <w:tabs>
          <w:tab w:val="left" w:pos="3969"/>
        </w:tabs>
        <w:rPr>
          <w:rFonts w:eastAsia="Times New Roman"/>
          <w:kern w:val="0"/>
          <w14:ligatures w14:val="none"/>
        </w:rPr>
      </w:pPr>
      <w:r w:rsidRPr="004F0E58">
        <w:rPr>
          <w:rFonts w:eastAsia="Times New Roman"/>
          <w:kern w:val="0"/>
          <w14:ligatures w14:val="none"/>
        </w:rPr>
        <w:t>The External Reviewers’ Report identified sixteen (16) recommendations. Ideally, recommendations will focus on a culture of ongoing and continuous improvement and prioritizing student-centred learning and experiences.</w:t>
      </w:r>
    </w:p>
    <w:p w14:paraId="7D79F763" w14:textId="77777777" w:rsidR="004F0E58" w:rsidRPr="004F0E58" w:rsidRDefault="004F0E58" w:rsidP="004F0E58">
      <w:pPr>
        <w:widowControl w:val="0"/>
        <w:rPr>
          <w:rFonts w:eastAsia="Times New Roman"/>
          <w:kern w:val="0"/>
          <w:highlight w:val="yellow"/>
          <w14:ligatures w14:val="none"/>
        </w:rPr>
      </w:pPr>
    </w:p>
    <w:p w14:paraId="4B14936A" w14:textId="77777777" w:rsidR="004F0E58" w:rsidRPr="004F0E58" w:rsidRDefault="004F0E58" w:rsidP="004F0E58">
      <w:pPr>
        <w:widowControl w:val="0"/>
        <w:rPr>
          <w:rFonts w:eastAsia="Times New Roman"/>
          <w:kern w:val="0"/>
          <w14:ligatures w14:val="none"/>
        </w:rPr>
      </w:pPr>
      <w:r w:rsidRPr="004F0E58">
        <w:rPr>
          <w:rFonts w:eastAsia="Times New Roman"/>
          <w:kern w:val="0"/>
          <w14:ligatures w14:val="none"/>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6F682C7C" w14:textId="77777777" w:rsidR="004F0E58" w:rsidRPr="004F0E58" w:rsidRDefault="004F0E58" w:rsidP="004F0E58">
      <w:pPr>
        <w:widowControl w:val="0"/>
        <w:rPr>
          <w:rFonts w:eastAsia="Times New Roman"/>
          <w:kern w:val="0"/>
          <w:highlight w:val="yellow"/>
          <w14:ligatures w14:val="none"/>
        </w:rPr>
      </w:pPr>
    </w:p>
    <w:p w14:paraId="0A7F8F3B" w14:textId="77777777" w:rsidR="004F0E58" w:rsidRPr="004F0E58" w:rsidRDefault="004F0E58" w:rsidP="004F0E58">
      <w:pPr>
        <w:widowControl w:val="0"/>
        <w:rPr>
          <w:rFonts w:eastAsia="Times New Roman"/>
          <w:kern w:val="0"/>
          <w14:ligatures w14:val="none"/>
        </w:rPr>
      </w:pPr>
      <w:r w:rsidRPr="004F0E58">
        <w:rPr>
          <w:rFonts w:eastAsia="Times New Roman"/>
          <w:kern w:val="0"/>
          <w14:ligatures w14:val="none"/>
        </w:rPr>
        <w:t xml:space="preserve">The Implementation Plan identifies eleven (11) recommendations for action and specifies the </w:t>
      </w:r>
      <w:r w:rsidRPr="004F0E58">
        <w:rPr>
          <w:rFonts w:eastAsia="Times New Roman"/>
          <w:kern w:val="0"/>
          <w14:ligatures w14:val="none"/>
        </w:rPr>
        <w:lastRenderedPageBreak/>
        <w:t>proposed follow-up and the person(s) responsible for leading the follow-up. The Academic Unit, in consultation with their Dean, will submit an Implementation Report in response to the recommendations identified for follow-up. The Report is due November 1, 2026.</w:t>
      </w:r>
    </w:p>
    <w:p w14:paraId="5AA6796A" w14:textId="77777777" w:rsidR="004F0E58" w:rsidRPr="004F0E58" w:rsidRDefault="004F0E58" w:rsidP="004F0E58">
      <w:pPr>
        <w:widowControl w:val="0"/>
        <w:rPr>
          <w:rFonts w:eastAsia="Times New Roman"/>
          <w:b/>
          <w:kern w:val="0"/>
          <w:highlight w:val="yellow"/>
          <w14:ligatures w14:val="none"/>
        </w:rPr>
      </w:pPr>
    </w:p>
    <w:p w14:paraId="3F8CAD14" w14:textId="77777777" w:rsidR="004F0E58" w:rsidRPr="004F0E58" w:rsidRDefault="004F0E58" w:rsidP="004F0E58">
      <w:pPr>
        <w:widowControl w:val="0"/>
        <w:rPr>
          <w:rFonts w:eastAsia="Times New Roman"/>
          <w:b/>
          <w:kern w:val="0"/>
          <w14:ligatures w14:val="none"/>
        </w:rPr>
      </w:pPr>
      <w:r w:rsidRPr="004F0E58">
        <w:rPr>
          <w:rFonts w:eastAsia="Times New Roman"/>
          <w:b/>
          <w:kern w:val="0"/>
          <w14:ligatures w14:val="none"/>
        </w:rPr>
        <w:t>Significant Program Strengths</w:t>
      </w:r>
    </w:p>
    <w:p w14:paraId="12D89C61" w14:textId="77777777" w:rsidR="004F0E58" w:rsidRPr="004F0E58" w:rsidRDefault="004F0E58" w:rsidP="004F0E58">
      <w:pPr>
        <w:widowControl w:val="0"/>
        <w:rPr>
          <w:rFonts w:eastAsia="Calibri"/>
          <w:kern w:val="0"/>
          <w14:ligatures w14:val="none"/>
        </w:rPr>
      </w:pPr>
    </w:p>
    <w:p w14:paraId="1AF3ECFD" w14:textId="77777777" w:rsidR="004F0E58" w:rsidRPr="004F0E58" w:rsidRDefault="004F0E58" w:rsidP="004F0E58">
      <w:pPr>
        <w:widowControl w:val="0"/>
        <w:rPr>
          <w:rFonts w:eastAsia="Calibri"/>
          <w:kern w:val="0"/>
          <w14:ligatures w14:val="none"/>
        </w:rPr>
      </w:pPr>
      <w:r w:rsidRPr="004F0E58">
        <w:rPr>
          <w:rFonts w:eastAsia="Calibri"/>
          <w:kern w:val="0"/>
          <w14:ligatures w14:val="none"/>
        </w:rPr>
        <w:t>Trent University's Sociology and Criminology programs place a strong emphasis on experiential learning, offering students a range of hands-on opportunities to apply their academic knowledge in real-world settings. Across both programs, students can engage in co-op placements, internships, practicums, and community-based research. These experiences are integrated throughout the curriculum, from research practicums and community projects to fourth-year thesis work.</w:t>
      </w:r>
    </w:p>
    <w:p w14:paraId="1AD75EC9" w14:textId="77777777" w:rsidR="004F0E58" w:rsidRPr="004F0E58" w:rsidRDefault="004F0E58" w:rsidP="004F0E58">
      <w:pPr>
        <w:widowControl w:val="0"/>
        <w:rPr>
          <w:rFonts w:eastAsia="Calibri"/>
          <w:kern w:val="0"/>
          <w14:ligatures w14:val="none"/>
        </w:rPr>
      </w:pPr>
    </w:p>
    <w:p w14:paraId="535BF353" w14:textId="77777777" w:rsidR="004F0E58" w:rsidRPr="004F0E58" w:rsidRDefault="004F0E58" w:rsidP="004F0E58">
      <w:pPr>
        <w:widowControl w:val="0"/>
        <w:rPr>
          <w:rFonts w:eastAsia="Calibri"/>
          <w:kern w:val="0"/>
          <w14:ligatures w14:val="none"/>
        </w:rPr>
      </w:pPr>
      <w:r w:rsidRPr="004F0E58">
        <w:rPr>
          <w:rFonts w:eastAsia="Calibri"/>
          <w:kern w:val="0"/>
          <w14:ligatures w14:val="none"/>
        </w:rPr>
        <w:t xml:space="preserve">In Criminology, students in their final year may participate in placements with criminal justice organizations (CRIM 4950H) or collaborate with community partners through practicum courses (CRIM 4240Y), contributing to projects that address contemporary social issues. Similarly, Sociology students </w:t>
      </w:r>
      <w:proofErr w:type="gramStart"/>
      <w:r w:rsidRPr="004F0E58">
        <w:rPr>
          <w:rFonts w:eastAsia="Calibri"/>
          <w:kern w:val="0"/>
          <w14:ligatures w14:val="none"/>
        </w:rPr>
        <w:t>have the opportunity to</w:t>
      </w:r>
      <w:proofErr w:type="gramEnd"/>
      <w:r w:rsidRPr="004F0E58">
        <w:rPr>
          <w:rFonts w:eastAsia="Calibri"/>
          <w:kern w:val="0"/>
          <w14:ligatures w14:val="none"/>
        </w:rPr>
        <w:t xml:space="preserve"> work with the Trent Community Research Center, tackling challenges related to social justice and public policy through collaborative, applied research.</w:t>
      </w:r>
    </w:p>
    <w:p w14:paraId="09929ABC" w14:textId="77777777" w:rsidR="004F0E58" w:rsidRPr="004F0E58" w:rsidRDefault="004F0E58" w:rsidP="004F0E58">
      <w:pPr>
        <w:widowControl w:val="0"/>
        <w:rPr>
          <w:rFonts w:eastAsia="Calibri"/>
          <w:kern w:val="0"/>
          <w14:ligatures w14:val="none"/>
        </w:rPr>
      </w:pPr>
    </w:p>
    <w:p w14:paraId="5846E122" w14:textId="77777777" w:rsidR="004F0E58" w:rsidRPr="004F0E58" w:rsidRDefault="004F0E58" w:rsidP="004F0E58">
      <w:pPr>
        <w:widowControl w:val="0"/>
        <w:rPr>
          <w:rFonts w:eastAsia="Calibri"/>
          <w:kern w:val="0"/>
          <w14:ligatures w14:val="none"/>
        </w:rPr>
      </w:pPr>
      <w:r w:rsidRPr="004F0E58">
        <w:rPr>
          <w:rFonts w:eastAsia="Calibri"/>
          <w:kern w:val="0"/>
          <w14:ligatures w14:val="none"/>
        </w:rPr>
        <w:t>The Department has cultivated strong external partnerships that enhance these learning experiences. Notably, formal relationships such as the Swansea Dual Law Degree and the co-op degree option broaden students’ academic and professional horizons. Additional collaborations have been developed through practicum placements and community-based research initiatives. These partnerships not only enrich student learning but also help build valuable professional networks and career readiness.</w:t>
      </w:r>
    </w:p>
    <w:p w14:paraId="3237B017" w14:textId="77777777" w:rsidR="004F0E58" w:rsidRPr="004F0E58" w:rsidRDefault="004F0E58" w:rsidP="004F0E58">
      <w:pPr>
        <w:widowControl w:val="0"/>
        <w:rPr>
          <w:rFonts w:eastAsia="Calibri"/>
          <w:kern w:val="0"/>
          <w14:ligatures w14:val="none"/>
        </w:rPr>
      </w:pPr>
    </w:p>
    <w:p w14:paraId="1D6B3AEC" w14:textId="77777777" w:rsidR="004F0E58" w:rsidRPr="004F0E58" w:rsidRDefault="004F0E58" w:rsidP="004F0E58">
      <w:pPr>
        <w:widowControl w:val="0"/>
        <w:rPr>
          <w:rFonts w:eastAsia="Calibri"/>
          <w:kern w:val="0"/>
          <w14:ligatures w14:val="none"/>
        </w:rPr>
      </w:pPr>
      <w:r w:rsidRPr="004F0E58">
        <w:rPr>
          <w:rFonts w:eastAsia="Calibri"/>
          <w:kern w:val="0"/>
          <w14:ligatures w14:val="none"/>
        </w:rPr>
        <w:t xml:space="preserve">Reviewers commended the Department’s commitment to continuous improvement, noting strong connections between students and faculty. This includes regular curriculum review and feedback mechanisms such as course evaluations, informal communication, and input from an active student society. </w:t>
      </w:r>
    </w:p>
    <w:p w14:paraId="35C03E09" w14:textId="77777777" w:rsidR="004F0E58" w:rsidRPr="004F0E58" w:rsidRDefault="004F0E58" w:rsidP="004F0E58">
      <w:pPr>
        <w:widowControl w:val="0"/>
        <w:rPr>
          <w:rFonts w:eastAsia="Calibri"/>
          <w:kern w:val="0"/>
          <w14:ligatures w14:val="none"/>
        </w:rPr>
      </w:pPr>
    </w:p>
    <w:p w14:paraId="2B18B1FE" w14:textId="77777777" w:rsidR="004F0E58" w:rsidRPr="004F0E58" w:rsidRDefault="004F0E58" w:rsidP="004F0E58">
      <w:pPr>
        <w:widowControl w:val="0"/>
        <w:rPr>
          <w:rFonts w:eastAsia="Calibri"/>
          <w:kern w:val="0"/>
          <w14:ligatures w14:val="none"/>
        </w:rPr>
      </w:pPr>
      <w:r w:rsidRPr="004F0E58">
        <w:rPr>
          <w:rFonts w:eastAsia="Calibri"/>
          <w:kern w:val="0"/>
          <w14:ligatures w14:val="none"/>
        </w:rPr>
        <w:t xml:space="preserve">The Department continues to expand its academic offerings in response to evolving societal issues and student interests. Recent tenure-track hires reflect a deliberate focus on areas such as Sport, Gender, Health and Inclusion, as well as Critical Criminology and Carceral Contexts. These additions have strengthened the Department’s capacity to offer relevant, socially engaged programming that addresses current challenges and prepares students to contribute meaningfully in diverse professional and academic settings. </w:t>
      </w:r>
    </w:p>
    <w:p w14:paraId="6D712521" w14:textId="77777777" w:rsidR="004F0E58" w:rsidRPr="004F0E58" w:rsidRDefault="004F0E58" w:rsidP="004F0E58">
      <w:pPr>
        <w:widowControl w:val="0"/>
        <w:rPr>
          <w:rFonts w:ascii="Arial Black" w:eastAsia="Times New Roman" w:hAnsi="Arial Black"/>
          <w:b/>
          <w:kern w:val="0"/>
          <w:highlight w:val="yellow"/>
          <w14:ligatures w14:val="none"/>
        </w:rPr>
      </w:pPr>
    </w:p>
    <w:p w14:paraId="28AA443F" w14:textId="77777777" w:rsidR="004F0E58" w:rsidRPr="004F0E58" w:rsidRDefault="004F0E58" w:rsidP="004F0E58">
      <w:pPr>
        <w:widowControl w:val="0"/>
        <w:rPr>
          <w:rFonts w:eastAsia="Times New Roman"/>
          <w:b/>
          <w:kern w:val="0"/>
          <w14:ligatures w14:val="none"/>
        </w:rPr>
      </w:pPr>
      <w:r w:rsidRPr="004F0E58">
        <w:rPr>
          <w:rFonts w:eastAsia="Times New Roman"/>
          <w:b/>
          <w:kern w:val="0"/>
          <w14:ligatures w14:val="none"/>
        </w:rPr>
        <w:t>Opportunities for Program Improvement and Enhancement</w:t>
      </w:r>
    </w:p>
    <w:p w14:paraId="2708F609" w14:textId="77777777" w:rsidR="004F0E58" w:rsidRPr="004F0E58" w:rsidRDefault="004F0E58" w:rsidP="004F0E58">
      <w:pPr>
        <w:widowControl w:val="0"/>
        <w:rPr>
          <w:rFonts w:eastAsia="Times New Roman"/>
          <w:b/>
          <w:kern w:val="0"/>
          <w14:ligatures w14:val="none"/>
        </w:rPr>
      </w:pPr>
    </w:p>
    <w:p w14:paraId="1DD3863F" w14:textId="77777777" w:rsidR="004F0E58" w:rsidRPr="004F0E58" w:rsidRDefault="004F0E58" w:rsidP="004F0E58">
      <w:pPr>
        <w:widowControl w:val="0"/>
        <w:rPr>
          <w:rFonts w:eastAsia="Times New Roman"/>
          <w:kern w:val="0"/>
          <w:lang w:eastAsia="en-CA"/>
          <w14:ligatures w14:val="none"/>
        </w:rPr>
      </w:pPr>
      <w:r w:rsidRPr="004F0E58">
        <w:rPr>
          <w:rFonts w:eastAsia="Times New Roman"/>
          <w:kern w:val="0"/>
          <w:lang w:eastAsia="en-CA"/>
          <w14:ligatures w14:val="none"/>
        </w:rPr>
        <w:t>Trent’s Sociology and Criminology programs are grounded in strong academic foundations and a clear commitment to student-centered learning. As both fields evolve, there are meaningful opportunities to enhance curriculum, experiential learning, and program support.</w:t>
      </w:r>
    </w:p>
    <w:p w14:paraId="56D1E398" w14:textId="77777777" w:rsidR="004F0E58" w:rsidRPr="004F0E58" w:rsidRDefault="004F0E58" w:rsidP="004F0E58">
      <w:pPr>
        <w:widowControl w:val="0"/>
        <w:rPr>
          <w:rFonts w:eastAsia="Times New Roman"/>
          <w:kern w:val="0"/>
          <w:lang w:eastAsia="en-CA"/>
          <w14:ligatures w14:val="none"/>
        </w:rPr>
      </w:pPr>
    </w:p>
    <w:p w14:paraId="4D152DB6" w14:textId="77777777" w:rsidR="004F0E58" w:rsidRPr="004F0E58" w:rsidRDefault="004F0E58" w:rsidP="004F0E58">
      <w:pPr>
        <w:widowControl w:val="0"/>
        <w:rPr>
          <w:rFonts w:eastAsia="Times New Roman"/>
          <w:kern w:val="0"/>
          <w:lang w:eastAsia="en-CA"/>
          <w14:ligatures w14:val="none"/>
        </w:rPr>
      </w:pPr>
      <w:r w:rsidRPr="004F0E58">
        <w:rPr>
          <w:rFonts w:eastAsia="Times New Roman"/>
          <w:kern w:val="0"/>
          <w:lang w:eastAsia="en-CA"/>
          <w14:ligatures w14:val="none"/>
        </w:rPr>
        <w:t>In Sociology, students noted content overlap, particularly between the two required 1000-level courses. This presents an opportunity to review and streamline the curriculum, reduce redundancy, and ensure broader exposure to key concepts as students progress through the program.</w:t>
      </w:r>
    </w:p>
    <w:p w14:paraId="408783BF" w14:textId="77777777" w:rsidR="004F0E58" w:rsidRPr="004F0E58" w:rsidRDefault="004F0E58" w:rsidP="004F0E58">
      <w:pPr>
        <w:widowControl w:val="0"/>
        <w:rPr>
          <w:rFonts w:eastAsia="Times New Roman"/>
          <w:kern w:val="0"/>
          <w:lang w:eastAsia="en-CA"/>
          <w14:ligatures w14:val="none"/>
        </w:rPr>
      </w:pPr>
    </w:p>
    <w:p w14:paraId="29D60E0E" w14:textId="77777777" w:rsidR="004F0E58" w:rsidRPr="004F0E58" w:rsidRDefault="004F0E58" w:rsidP="004F0E58">
      <w:pPr>
        <w:widowControl w:val="0"/>
        <w:rPr>
          <w:rFonts w:eastAsia="Times New Roman"/>
          <w:kern w:val="0"/>
          <w:lang w:eastAsia="en-CA"/>
          <w14:ligatures w14:val="none"/>
        </w:rPr>
      </w:pPr>
      <w:r w:rsidRPr="004F0E58">
        <w:rPr>
          <w:rFonts w:eastAsia="Times New Roman"/>
          <w:kern w:val="0"/>
          <w:lang w:eastAsia="en-CA"/>
          <w14:ligatures w14:val="none"/>
        </w:rPr>
        <w:t>Experiential learning is a core strength of both programs, with co-ops, internships, practicums, and community-based research embedded in the student experience. Criminology’s dedicated placement (CRIM 4950H) and practicum (CRIM 4240Y) courses offer valuable hands-on opportunities. However, rapid growth in student numbers has created pressure on placements. Strengthening partnerships with external organizations—especially those aligned with criminal justice and social policy near the Peterborough and Durham campuses—could help ease this burden and expand access to meaningful experiential opportunities.</w:t>
      </w:r>
    </w:p>
    <w:p w14:paraId="13E5F67F" w14:textId="77777777" w:rsidR="004F0E58" w:rsidRPr="004F0E58" w:rsidRDefault="004F0E58" w:rsidP="004F0E58">
      <w:pPr>
        <w:widowControl w:val="0"/>
        <w:rPr>
          <w:rFonts w:eastAsia="Times New Roman"/>
          <w:kern w:val="0"/>
          <w:lang w:eastAsia="en-CA"/>
          <w14:ligatures w14:val="none"/>
        </w:rPr>
      </w:pPr>
    </w:p>
    <w:p w14:paraId="782E1D95" w14:textId="77777777" w:rsidR="004F0E58" w:rsidRPr="004F0E58" w:rsidRDefault="004F0E58" w:rsidP="004F0E58">
      <w:pPr>
        <w:widowControl w:val="0"/>
        <w:rPr>
          <w:rFonts w:eastAsia="Times New Roman"/>
          <w:kern w:val="0"/>
          <w:lang w:eastAsia="en-CA"/>
          <w14:ligatures w14:val="none"/>
        </w:rPr>
      </w:pPr>
      <w:r w:rsidRPr="004F0E58">
        <w:rPr>
          <w:rFonts w:eastAsia="Times New Roman"/>
          <w:kern w:val="0"/>
          <w:lang w:eastAsia="en-CA"/>
          <w14:ligatures w14:val="none"/>
        </w:rPr>
        <w:t>Unlike Criminology, Sociology does not yet offer a dedicated placement course. Adding one could boost career readiness and applied learning. Participation in Sociology’s co-op program remains low, partly due to limited employer engagement. Expanding partnerships with government, non-profits, and the private sector could help increase participation.</w:t>
      </w:r>
    </w:p>
    <w:p w14:paraId="1C31C6DB" w14:textId="77777777" w:rsidR="004F0E58" w:rsidRPr="004F0E58" w:rsidRDefault="004F0E58" w:rsidP="004F0E58">
      <w:pPr>
        <w:widowControl w:val="0"/>
        <w:rPr>
          <w:rFonts w:eastAsia="Times New Roman"/>
          <w:kern w:val="0"/>
          <w:lang w:eastAsia="en-CA"/>
          <w14:ligatures w14:val="none"/>
        </w:rPr>
      </w:pPr>
    </w:p>
    <w:p w14:paraId="3CA67E6D" w14:textId="77777777" w:rsidR="004F0E58" w:rsidRPr="004F0E58" w:rsidRDefault="004F0E58" w:rsidP="004F0E58">
      <w:pPr>
        <w:widowControl w:val="0"/>
        <w:rPr>
          <w:rFonts w:eastAsia="Times New Roman"/>
          <w:kern w:val="0"/>
          <w:lang w:eastAsia="en-CA"/>
          <w14:ligatures w14:val="none"/>
        </w:rPr>
      </w:pPr>
      <w:r w:rsidRPr="004F0E58">
        <w:rPr>
          <w:rFonts w:eastAsia="Times New Roman"/>
          <w:kern w:val="0"/>
          <w:lang w:eastAsia="en-CA"/>
          <w14:ligatures w14:val="none"/>
        </w:rPr>
        <w:t>Across both programs, enhancing external relationships is a key area for development. Stronger partnerships would better align with students’ academic and geographic needs, improve placement processes, and reduce administrative workload—especially in field placement courses.</w:t>
      </w:r>
    </w:p>
    <w:p w14:paraId="5A4CDE48" w14:textId="77777777" w:rsidR="004F0E58" w:rsidRPr="004F0E58" w:rsidRDefault="004F0E58" w:rsidP="004F0E58">
      <w:pPr>
        <w:widowControl w:val="0"/>
        <w:rPr>
          <w:rFonts w:eastAsia="Times New Roman"/>
          <w:kern w:val="0"/>
          <w:lang w:eastAsia="en-CA"/>
          <w14:ligatures w14:val="none"/>
        </w:rPr>
      </w:pPr>
    </w:p>
    <w:p w14:paraId="51F86352" w14:textId="77777777" w:rsidR="004F0E58" w:rsidRPr="004F0E58" w:rsidRDefault="004F0E58" w:rsidP="004F0E58">
      <w:pPr>
        <w:widowControl w:val="0"/>
        <w:rPr>
          <w:rFonts w:eastAsia="Times New Roman"/>
          <w:kern w:val="0"/>
          <w:lang w:eastAsia="en-CA"/>
          <w14:ligatures w14:val="none"/>
        </w:rPr>
      </w:pPr>
      <w:r w:rsidRPr="004F0E58">
        <w:rPr>
          <w:rFonts w:eastAsia="Times New Roman"/>
          <w:kern w:val="0"/>
          <w:lang w:eastAsia="en-CA"/>
          <w14:ligatures w14:val="none"/>
        </w:rPr>
        <w:t>Criminology’s rapid growth—outpacing expectations—underscores the need for proactive planning. The program’s appeal is clear, but sustaining quality requires ongoing monitoring of instructional capacity and support for experiential courses.</w:t>
      </w:r>
    </w:p>
    <w:p w14:paraId="41072199" w14:textId="77777777" w:rsidR="004F0E58" w:rsidRPr="004F0E58" w:rsidRDefault="004F0E58" w:rsidP="004F0E58">
      <w:pPr>
        <w:widowControl w:val="0"/>
        <w:rPr>
          <w:rFonts w:eastAsia="Times New Roman"/>
          <w:kern w:val="0"/>
          <w:lang w:eastAsia="en-CA"/>
          <w14:ligatures w14:val="none"/>
        </w:rPr>
      </w:pPr>
    </w:p>
    <w:p w14:paraId="49A0B822" w14:textId="77777777" w:rsidR="004F0E58" w:rsidRPr="004F0E58" w:rsidRDefault="004F0E58" w:rsidP="004F0E58">
      <w:pPr>
        <w:widowControl w:val="0"/>
        <w:rPr>
          <w:rFonts w:eastAsia="Times New Roman"/>
          <w:kern w:val="0"/>
          <w:lang w:eastAsia="en-CA"/>
          <w14:ligatures w14:val="none"/>
        </w:rPr>
      </w:pPr>
      <w:r w:rsidRPr="004F0E58">
        <w:rPr>
          <w:rFonts w:eastAsia="Times New Roman"/>
          <w:kern w:val="0"/>
          <w:lang w:eastAsia="en-CA"/>
          <w14:ligatures w14:val="none"/>
        </w:rPr>
        <w:t>This growth also highlights the need to clarify internal roles. Reviewing responsibilities across the Criminology Program Coordinator, course assistants, and workshop leaders, would support smoother program delivery and enhance the student experience. Additionally, while not a formal quality issue, fostering a stronger sense of community through events, mentorship, or student groups would further enrich student engagement.</w:t>
      </w:r>
    </w:p>
    <w:p w14:paraId="35C4CA1E" w14:textId="77777777" w:rsidR="004F0E58" w:rsidRPr="004F0E58" w:rsidRDefault="004F0E58" w:rsidP="004F0E58">
      <w:pPr>
        <w:widowControl w:val="0"/>
        <w:rPr>
          <w:rFonts w:eastAsia="Times New Roman"/>
          <w:kern w:val="0"/>
          <w:lang w:eastAsia="en-CA"/>
          <w14:ligatures w14:val="none"/>
        </w:rPr>
      </w:pPr>
    </w:p>
    <w:p w14:paraId="598AAB9A" w14:textId="77777777" w:rsidR="004F0E58" w:rsidRPr="004F0E58" w:rsidRDefault="004F0E58" w:rsidP="004F0E58">
      <w:pPr>
        <w:widowControl w:val="0"/>
        <w:rPr>
          <w:rFonts w:eastAsia="Times New Roman"/>
          <w:kern w:val="0"/>
          <w:lang w:eastAsia="en-CA"/>
          <w14:ligatures w14:val="none"/>
        </w:rPr>
      </w:pPr>
      <w:r w:rsidRPr="004F0E58">
        <w:rPr>
          <w:rFonts w:eastAsia="Times New Roman"/>
          <w:kern w:val="0"/>
          <w:lang w:eastAsia="en-CA"/>
          <w14:ligatures w14:val="none"/>
        </w:rPr>
        <w:t>Finally, there is room to improve program-level feedback. While students share input informally, there is currently no systematic process for collecting feedback on overall program outcomes. A student survey is planned for Criminology, and implementing regular, comprehensive surveys across both programs would support continuous improvement and future planning.</w:t>
      </w:r>
    </w:p>
    <w:p w14:paraId="25E9BA03" w14:textId="77777777" w:rsidR="004F0E58" w:rsidRPr="004F0E58" w:rsidRDefault="004F0E58" w:rsidP="004F0E58">
      <w:pPr>
        <w:widowControl w:val="0"/>
        <w:tabs>
          <w:tab w:val="left" w:pos="1560"/>
          <w:tab w:val="right" w:pos="5760"/>
        </w:tabs>
        <w:rPr>
          <w:rFonts w:eastAsia="Calibri"/>
          <w:kern w:val="0"/>
          <w:highlight w:val="yellow"/>
          <w14:ligatures w14:val="none"/>
        </w:rPr>
      </w:pPr>
    </w:p>
    <w:p w14:paraId="1291C42F" w14:textId="77777777" w:rsidR="004F0E58" w:rsidRPr="004F0E58" w:rsidRDefault="004F0E58" w:rsidP="004F0E58">
      <w:pPr>
        <w:widowControl w:val="0"/>
        <w:tabs>
          <w:tab w:val="left" w:pos="1560"/>
          <w:tab w:val="right" w:pos="5760"/>
        </w:tabs>
        <w:ind w:left="-284"/>
        <w:rPr>
          <w:rFonts w:ascii="Arial Black" w:eastAsia="Times New Roman" w:hAnsi="Arial Black"/>
          <w:kern w:val="0"/>
          <w:lang w:val="en-US"/>
          <w14:ligatures w14:val="none"/>
        </w:rPr>
      </w:pPr>
      <w:r w:rsidRPr="004F0E58">
        <w:rPr>
          <w:rFonts w:ascii="Arial Black" w:eastAsia="Times New Roman" w:hAnsi="Arial Black"/>
          <w:b/>
          <w:kern w:val="0"/>
          <w:lang w:val="en-US"/>
          <w14:ligatures w14:val="none"/>
        </w:rPr>
        <w:t>Implementation Plan</w:t>
      </w:r>
      <w:r w:rsidRPr="004F0E58">
        <w:rPr>
          <w:rFonts w:ascii="Arial Black" w:eastAsia="Times New Roman" w:hAnsi="Arial Black"/>
          <w:kern w:val="0"/>
          <w:lang w:val="en-US"/>
          <w14:ligatures w14:val="none"/>
        </w:rPr>
        <w:t xml:space="preserve"> </w:t>
      </w:r>
    </w:p>
    <w:p w14:paraId="7D1FF04C" w14:textId="77777777" w:rsidR="004F0E58" w:rsidRPr="004F0E58" w:rsidRDefault="004F0E58" w:rsidP="004F0E58">
      <w:pPr>
        <w:widowControl w:val="0"/>
        <w:tabs>
          <w:tab w:val="left" w:pos="567"/>
        </w:tabs>
        <w:ind w:left="-284"/>
        <w:rPr>
          <w:rFonts w:eastAsia="Times New Roman"/>
          <w:kern w:val="0"/>
          <w:highlight w:val="yellow"/>
          <w:lang w:val="en-US"/>
          <w14:ligatures w14:val="none"/>
        </w:rPr>
      </w:pPr>
    </w:p>
    <w:p w14:paraId="4D52A0C6" w14:textId="77777777" w:rsidR="004F0E58" w:rsidRPr="004F0E58" w:rsidRDefault="004F0E58" w:rsidP="004F0E58">
      <w:pPr>
        <w:widowControl w:val="0"/>
        <w:tabs>
          <w:tab w:val="left" w:pos="567"/>
        </w:tabs>
        <w:ind w:left="-284"/>
        <w:rPr>
          <w:rFonts w:eastAsia="Times New Roman"/>
          <w:kern w:val="0"/>
          <w:lang w:val="en-US"/>
          <w14:ligatures w14:val="none"/>
        </w:rPr>
      </w:pPr>
      <w:r w:rsidRPr="004F0E58">
        <w:rPr>
          <w:rFonts w:eastAsia="Times New Roman"/>
          <w:kern w:val="0"/>
          <w:lang w:val="en-US"/>
          <w14:ligatures w14:val="none"/>
        </w:rPr>
        <w:t xml:space="preserve">The Implementation Plan identifies those recommendations that require action by the academic unit. </w:t>
      </w:r>
      <w:r w:rsidRPr="004F0E58">
        <w:rPr>
          <w:rFonts w:eastAsia="Times New Roman"/>
          <w:b/>
          <w:kern w:val="0"/>
          <w:u w:val="single"/>
          <w:lang w:val="en-US"/>
          <w14:ligatures w14:val="none"/>
        </w:rPr>
        <w:t xml:space="preserve">The Chair or Director, with members of the academic unit, will be responsible for leading </w:t>
      </w:r>
      <w:r w:rsidRPr="004F0E58">
        <w:rPr>
          <w:rFonts w:eastAsia="Times New Roman"/>
          <w:b/>
          <w:kern w:val="0"/>
          <w:u w:val="single"/>
          <w:lang w:val="en-US"/>
          <w14:ligatures w14:val="none"/>
        </w:rPr>
        <w:lastRenderedPageBreak/>
        <w:t>the follow-up in consultation, and where appropriate, with Dean(s) and other university departments</w:t>
      </w:r>
      <w:r w:rsidRPr="004F0E58">
        <w:rPr>
          <w:rFonts w:eastAsia="Times New Roman"/>
          <w:b/>
          <w:kern w:val="0"/>
          <w:lang w:val="en-US"/>
          <w14:ligatures w14:val="none"/>
        </w:rPr>
        <w:t>.</w:t>
      </w:r>
      <w:r w:rsidRPr="004F0E58">
        <w:rPr>
          <w:rFonts w:eastAsia="Times New Roman"/>
          <w:kern w:val="0"/>
          <w:lang w:val="en-US"/>
          <w14:ligatures w14:val="none"/>
        </w:rPr>
        <w:t xml:space="preserve"> </w:t>
      </w:r>
    </w:p>
    <w:p w14:paraId="75EEADDC" w14:textId="77777777" w:rsidR="004F0E58" w:rsidRPr="004F0E58" w:rsidRDefault="004F0E58" w:rsidP="004F0E58">
      <w:pPr>
        <w:widowControl w:val="0"/>
        <w:tabs>
          <w:tab w:val="left" w:pos="567"/>
        </w:tabs>
        <w:ind w:left="-284"/>
        <w:rPr>
          <w:rFonts w:eastAsia="Times New Roman"/>
          <w:kern w:val="0"/>
          <w:lang w:val="en-US"/>
          <w14:ligatures w14:val="none"/>
        </w:rPr>
      </w:pPr>
    </w:p>
    <w:p w14:paraId="6090BA45" w14:textId="77777777" w:rsidR="004F0E58" w:rsidRPr="004F0E58" w:rsidRDefault="004F0E58" w:rsidP="004F0E58">
      <w:pPr>
        <w:widowControl w:val="0"/>
        <w:tabs>
          <w:tab w:val="left" w:pos="567"/>
        </w:tabs>
        <w:ind w:left="-284"/>
        <w:rPr>
          <w:rFonts w:eastAsia="Times New Roman"/>
          <w:kern w:val="0"/>
          <w14:ligatures w14:val="none"/>
        </w:rPr>
      </w:pPr>
      <w:r w:rsidRPr="004F0E58">
        <w:rPr>
          <w:rFonts w:eastAsia="Times New Roman"/>
          <w:kern w:val="0"/>
          <w:lang w:val="en-US"/>
          <w14:ligatures w14:val="none"/>
        </w:rPr>
        <w:t xml:space="preserve">The Academic Unit will report on actions taken and the status of each recommendation by the due date provided. The (Associate) Dean will be responsible for reviewing the Implementation Report and submitting the final report to the Office of the Provost. </w:t>
      </w:r>
    </w:p>
    <w:p w14:paraId="2B46D1E5" w14:textId="77777777" w:rsidR="004F0E58" w:rsidRPr="004F0E58" w:rsidRDefault="004F0E58" w:rsidP="004F0E58">
      <w:pPr>
        <w:widowControl w:val="0"/>
        <w:tabs>
          <w:tab w:val="left" w:pos="567"/>
        </w:tabs>
        <w:rPr>
          <w:rFonts w:eastAsia="Times New Roman"/>
          <w:b/>
          <w:kern w:val="0"/>
          <w:lang w:val="en-US"/>
          <w14:ligatures w14:val="none"/>
        </w:rPr>
      </w:pPr>
    </w:p>
    <w:p w14:paraId="56EEF616" w14:textId="77777777" w:rsidR="004F0E58" w:rsidRPr="004F0E58" w:rsidRDefault="004F0E58" w:rsidP="004F0E58">
      <w:pPr>
        <w:widowControl w:val="0"/>
        <w:tabs>
          <w:tab w:val="left" w:pos="567"/>
        </w:tabs>
        <w:ind w:left="-270"/>
        <w:rPr>
          <w:rFonts w:eastAsia="Times New Roman" w:cs="Arial"/>
          <w:kern w:val="0"/>
          <w:lang w:val="en-US"/>
          <w14:ligatures w14:val="none"/>
        </w:rPr>
      </w:pPr>
      <w:r w:rsidRPr="004F0E58">
        <w:rPr>
          <w:rFonts w:eastAsia="Times New Roman"/>
          <w:b/>
          <w:kern w:val="0"/>
          <w:lang w:val="en-US"/>
          <w14:ligatures w14:val="none"/>
        </w:rPr>
        <w:t>DUE DATE FOR IMPLEMENTATION REPORT: November 1, 2026</w:t>
      </w:r>
    </w:p>
    <w:tbl>
      <w:tblPr>
        <w:tblW w:w="10710" w:type="dxa"/>
        <w:tblInd w:w="-275" w:type="dxa"/>
        <w:tblLayout w:type="fixed"/>
        <w:tblLook w:val="04A0" w:firstRow="1" w:lastRow="0" w:firstColumn="1" w:lastColumn="0" w:noHBand="0" w:noVBand="1"/>
      </w:tblPr>
      <w:tblGrid>
        <w:gridCol w:w="3600"/>
        <w:gridCol w:w="3602"/>
        <w:gridCol w:w="1573"/>
        <w:gridCol w:w="1935"/>
      </w:tblGrid>
      <w:tr w:rsidR="004F0E58" w:rsidRPr="004F0E58" w14:paraId="3D3A9FE6"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3972A" w14:textId="77777777" w:rsidR="004F0E58" w:rsidRPr="004F0E58" w:rsidRDefault="004F0E58" w:rsidP="004F0E58">
            <w:pPr>
              <w:widowControl w:val="0"/>
              <w:jc w:val="center"/>
              <w:rPr>
                <w:rFonts w:eastAsia="Times New Roman"/>
                <w:b/>
                <w:kern w:val="0"/>
                <w:sz w:val="22"/>
                <w:szCs w:val="22"/>
                <w:lang w:val="en-US"/>
                <w14:ligatures w14:val="none"/>
              </w:rPr>
            </w:pPr>
            <w:r w:rsidRPr="004F0E58">
              <w:rPr>
                <w:rFonts w:eastAsia="Times New Roman"/>
                <w:b/>
                <w:kern w:val="0"/>
                <w:sz w:val="22"/>
                <w:szCs w:val="22"/>
                <w:lang w:val="en-US"/>
                <w14:ligatures w14:val="none"/>
              </w:rPr>
              <w:t>Recommendation</w:t>
            </w:r>
          </w:p>
        </w:tc>
        <w:tc>
          <w:tcPr>
            <w:tcW w:w="36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AAF2B0" w14:textId="77777777" w:rsidR="004F0E58" w:rsidRPr="004F0E58" w:rsidRDefault="004F0E58" w:rsidP="004F0E58">
            <w:pPr>
              <w:widowControl w:val="0"/>
              <w:jc w:val="center"/>
              <w:rPr>
                <w:rFonts w:eastAsia="Times New Roman"/>
                <w:b/>
                <w:kern w:val="0"/>
                <w:sz w:val="22"/>
                <w:szCs w:val="22"/>
                <w:lang w:val="en-US"/>
                <w14:ligatures w14:val="none"/>
              </w:rPr>
            </w:pPr>
            <w:r w:rsidRPr="004F0E58">
              <w:rPr>
                <w:rFonts w:eastAsia="Times New Roman"/>
                <w:b/>
                <w:kern w:val="0"/>
                <w:sz w:val="22"/>
                <w:szCs w:val="22"/>
                <w:lang w:val="en-US"/>
                <w14:ligatures w14:val="none"/>
              </w:rPr>
              <w:t>Proposed Follow-Up</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2C2D07E8" w14:textId="77777777" w:rsidR="004F0E58" w:rsidRPr="004F0E58" w:rsidRDefault="004F0E58" w:rsidP="004F0E58">
            <w:pPr>
              <w:widowControl w:val="0"/>
              <w:jc w:val="center"/>
              <w:rPr>
                <w:rFonts w:eastAsia="Times New Roman"/>
                <w:b/>
                <w:iCs/>
                <w:kern w:val="0"/>
                <w:sz w:val="22"/>
                <w:szCs w:val="22"/>
                <w:lang w:val="en-US"/>
                <w14:ligatures w14:val="none"/>
              </w:rPr>
            </w:pPr>
          </w:p>
          <w:p w14:paraId="56950B13" w14:textId="77777777" w:rsidR="004F0E58" w:rsidRPr="004F0E58" w:rsidRDefault="004F0E58" w:rsidP="004F0E58">
            <w:pPr>
              <w:widowControl w:val="0"/>
              <w:jc w:val="center"/>
              <w:rPr>
                <w:rFonts w:eastAsia="Times New Roman"/>
                <w:b/>
                <w:iCs/>
                <w:kern w:val="0"/>
                <w:sz w:val="22"/>
                <w:szCs w:val="22"/>
                <w:lang w:val="en-US"/>
                <w14:ligatures w14:val="none"/>
              </w:rPr>
            </w:pPr>
            <w:r w:rsidRPr="004F0E58">
              <w:rPr>
                <w:rFonts w:eastAsia="Times New Roman"/>
                <w:b/>
                <w:iCs/>
                <w:kern w:val="0"/>
                <w:sz w:val="22"/>
                <w:szCs w:val="22"/>
                <w:lang w:val="en-US"/>
                <w14:ligatures w14:val="none"/>
              </w:rPr>
              <w:t>Specific Timeline</w:t>
            </w:r>
          </w:p>
          <w:p w14:paraId="2ED6AFCB" w14:textId="77777777" w:rsidR="004F0E58" w:rsidRPr="004F0E58" w:rsidRDefault="004F0E58" w:rsidP="004F0E58">
            <w:pPr>
              <w:widowControl w:val="0"/>
              <w:jc w:val="center"/>
              <w:rPr>
                <w:rFonts w:eastAsia="Times New Roman"/>
                <w:b/>
                <w:iCs/>
                <w:kern w:val="0"/>
                <w:sz w:val="22"/>
                <w:szCs w:val="22"/>
                <w:lang w:val="en-US"/>
                <w14:ligatures w14:val="none"/>
              </w:rPr>
            </w:pPr>
          </w:p>
        </w:tc>
        <w:tc>
          <w:tcPr>
            <w:tcW w:w="19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2DB0E" w14:textId="77777777" w:rsidR="004F0E58" w:rsidRPr="004F0E58" w:rsidRDefault="004F0E58" w:rsidP="004F0E58">
            <w:pPr>
              <w:widowControl w:val="0"/>
              <w:jc w:val="center"/>
              <w:rPr>
                <w:rFonts w:eastAsia="Times New Roman"/>
                <w:b/>
                <w:kern w:val="0"/>
                <w:sz w:val="22"/>
                <w:szCs w:val="22"/>
                <w:lang w:val="en-US"/>
                <w14:ligatures w14:val="none"/>
              </w:rPr>
            </w:pPr>
            <w:r w:rsidRPr="004F0E58">
              <w:rPr>
                <w:rFonts w:eastAsia="Times New Roman"/>
                <w:b/>
                <w:kern w:val="0"/>
                <w:sz w:val="22"/>
                <w:szCs w:val="22"/>
                <w:lang w:val="en-US"/>
                <w14:ligatures w14:val="none"/>
              </w:rPr>
              <w:t>Position Responsible for Leading Follow-up</w:t>
            </w:r>
          </w:p>
        </w:tc>
      </w:tr>
      <w:tr w:rsidR="004F0E58" w:rsidRPr="004F0E58" w14:paraId="798BDD17" w14:textId="77777777" w:rsidTr="004F0E58">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tcPr>
          <w:p w14:paraId="0D14FF1E"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Times New Roman"/>
                <w:b/>
                <w:kern w:val="0"/>
                <w:sz w:val="22"/>
                <w:szCs w:val="22"/>
                <w:lang w:val="en-US"/>
                <w14:ligatures w14:val="none"/>
              </w:rPr>
              <w:t>BA Sociology</w:t>
            </w:r>
          </w:p>
        </w:tc>
      </w:tr>
      <w:tr w:rsidR="004F0E58" w:rsidRPr="004F0E58" w14:paraId="71DA2B21"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5ADA83B" w14:textId="77777777" w:rsidR="004F0E58" w:rsidRPr="004F0E58" w:rsidRDefault="004F0E58" w:rsidP="004F0E58">
            <w:pPr>
              <w:widowControl w:val="0"/>
              <w:autoSpaceDE w:val="0"/>
              <w:autoSpaceDN w:val="0"/>
              <w:adjustRightInd w:val="0"/>
              <w:rPr>
                <w:rFonts w:eastAsia="Times New Roman"/>
                <w:b/>
                <w:bCs/>
                <w:kern w:val="0"/>
                <w:sz w:val="22"/>
                <w:szCs w:val="22"/>
                <w:lang w:val="en-US"/>
                <w14:ligatures w14:val="none"/>
              </w:rPr>
            </w:pPr>
            <w:r w:rsidRPr="004F0E58">
              <w:rPr>
                <w:rFonts w:eastAsia="Times New Roman"/>
                <w:b/>
                <w:bCs/>
                <w:kern w:val="0"/>
                <w:sz w:val="22"/>
                <w:szCs w:val="22"/>
                <w:lang w:val="en-US"/>
                <w14:ligatures w14:val="none"/>
              </w:rPr>
              <w:t>Recommendation 1</w:t>
            </w:r>
          </w:p>
          <w:p w14:paraId="721B900F" w14:textId="77777777" w:rsidR="004F0E58" w:rsidRPr="004F0E58" w:rsidRDefault="004F0E58" w:rsidP="004F0E58">
            <w:pPr>
              <w:widowControl w:val="0"/>
              <w:autoSpaceDE w:val="0"/>
              <w:autoSpaceDN w:val="0"/>
              <w:adjustRightInd w:val="0"/>
              <w:rPr>
                <w:rFonts w:eastAsia="Calibri"/>
                <w:kern w:val="0"/>
                <w:sz w:val="22"/>
                <w:szCs w:val="22"/>
                <w14:ligatures w14:val="none"/>
              </w:rPr>
            </w:pPr>
            <w:r w:rsidRPr="004F0E58">
              <w:rPr>
                <w:rFonts w:eastAsia="Calibri"/>
                <w:kern w:val="0"/>
                <w:sz w:val="22"/>
                <w:szCs w:val="22"/>
                <w14:ligatures w14:val="none"/>
              </w:rPr>
              <w:t xml:space="preserve">The Program should consider incorporating quantitative software training (e.g., Excel, SPSS, Stata, and/or R) into methods courses. </w:t>
            </w:r>
          </w:p>
          <w:p w14:paraId="26728B3C" w14:textId="77777777" w:rsidR="004F0E58" w:rsidRPr="004F0E58" w:rsidRDefault="004F0E58" w:rsidP="004F0E58">
            <w:pPr>
              <w:widowControl w:val="0"/>
              <w:autoSpaceDE w:val="0"/>
              <w:autoSpaceDN w:val="0"/>
              <w:adjustRightInd w:val="0"/>
              <w:rPr>
                <w:rFonts w:eastAsia="Calibri"/>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135432F9"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Currently, students interested in quantitative data analysis are encouraged to take a PSYC or ECON data analysis course (e.g., offered by PSYC or ECON); however, there are no plans to add a required course in this area.</w:t>
            </w:r>
          </w:p>
          <w:p w14:paraId="20343A73" w14:textId="77777777" w:rsidR="004F0E58" w:rsidRPr="004F0E58" w:rsidRDefault="004F0E58" w:rsidP="004F0E58">
            <w:pPr>
              <w:widowControl w:val="0"/>
              <w:rPr>
                <w:rFonts w:eastAsia="Times New Roman"/>
                <w:bCs/>
                <w:kern w:val="0"/>
                <w:sz w:val="22"/>
                <w:szCs w:val="22"/>
                <w:lang w:val="en-US"/>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0EB305E7" w14:textId="77777777" w:rsidR="004F0E58" w:rsidRPr="004F0E58" w:rsidRDefault="004F0E58" w:rsidP="004F0E58">
            <w:pPr>
              <w:widowControl w:val="0"/>
              <w:rPr>
                <w:rFonts w:eastAsia="Times New Roman"/>
                <w:bCs/>
                <w:iCs/>
                <w:kern w:val="0"/>
                <w:sz w:val="22"/>
                <w:szCs w:val="22"/>
                <w:lang w:val="en-US"/>
                <w14:ligatures w14:val="none"/>
              </w:rPr>
            </w:pPr>
            <w:r w:rsidRPr="004F0E58">
              <w:rPr>
                <w:rFonts w:eastAsia="Calibri"/>
                <w:kern w:val="0"/>
                <w:sz w:val="22"/>
                <w:szCs w:val="22"/>
                <w14:ligatures w14:val="none"/>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auto" w:fill="D9D9D9"/>
          </w:tcPr>
          <w:p w14:paraId="04F62445" w14:textId="77777777" w:rsidR="004F0E58" w:rsidRPr="004F0E58" w:rsidRDefault="004F0E58" w:rsidP="004F0E58">
            <w:pPr>
              <w:widowControl w:val="0"/>
              <w:rPr>
                <w:rFonts w:eastAsia="Times New Roman"/>
                <w:bCs/>
                <w:kern w:val="0"/>
                <w:sz w:val="22"/>
                <w:szCs w:val="22"/>
                <w:lang w:val="en-US"/>
                <w14:ligatures w14:val="none"/>
              </w:rPr>
            </w:pPr>
            <w:r w:rsidRPr="004F0E58">
              <w:rPr>
                <w:rFonts w:eastAsia="Calibri"/>
                <w:kern w:val="0"/>
                <w:sz w:val="22"/>
                <w:szCs w:val="22"/>
                <w14:ligatures w14:val="none"/>
              </w:rPr>
              <w:t xml:space="preserve"> </w:t>
            </w:r>
          </w:p>
        </w:tc>
      </w:tr>
      <w:tr w:rsidR="004F0E58" w:rsidRPr="004F0E58" w14:paraId="6098CB68"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59B57671"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r w:rsidRPr="004F0E58">
              <w:rPr>
                <w:rFonts w:eastAsia="Times New Roman"/>
                <w:b/>
                <w:kern w:val="0"/>
                <w:sz w:val="22"/>
                <w:szCs w:val="22"/>
                <w14:ligatures w14:val="none"/>
              </w:rPr>
              <w:t>Recommendation 2</w:t>
            </w:r>
          </w:p>
          <w:p w14:paraId="218DA4CB" w14:textId="77777777" w:rsidR="004F0E58" w:rsidRPr="004F0E58" w:rsidRDefault="004F0E58" w:rsidP="004F0E58">
            <w:pPr>
              <w:widowControl w:val="0"/>
              <w:tabs>
                <w:tab w:val="left" w:pos="744"/>
              </w:tabs>
              <w:rPr>
                <w:rFonts w:eastAsia="Calibri"/>
                <w:kern w:val="0"/>
                <w:sz w:val="22"/>
                <w:szCs w:val="22"/>
                <w14:ligatures w14:val="none"/>
              </w:rPr>
            </w:pPr>
            <w:r w:rsidRPr="004F0E58">
              <w:rPr>
                <w:rFonts w:eastAsia="Calibri"/>
                <w:kern w:val="0"/>
                <w:sz w:val="22"/>
                <w:szCs w:val="22"/>
                <w14:ligatures w14:val="none"/>
              </w:rPr>
              <w:t>That the Program consider hiring an LTA or tenure-track faculty member specializing in health studies and/or gender and sexuality.</w:t>
            </w:r>
          </w:p>
          <w:p w14:paraId="51F7CE1F" w14:textId="77777777" w:rsidR="004F0E58" w:rsidRPr="004F0E58" w:rsidRDefault="004F0E58" w:rsidP="004F0E58">
            <w:pPr>
              <w:widowControl w:val="0"/>
              <w:tabs>
                <w:tab w:val="left" w:pos="744"/>
              </w:tabs>
              <w:rPr>
                <w:rFonts w:eastAsia="Calibri"/>
                <w:bCs/>
                <w:kern w:val="0"/>
                <w:sz w:val="22"/>
                <w:szCs w:val="22"/>
                <w:lang w:val="en-US"/>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2AAB54F4"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 xml:space="preserve">No follow-up is required. </w:t>
            </w:r>
          </w:p>
          <w:p w14:paraId="09E6D861" w14:textId="77777777" w:rsidR="004F0E58" w:rsidRPr="004F0E58" w:rsidRDefault="004F0E58" w:rsidP="004F0E58">
            <w:pPr>
              <w:widowControl w:val="0"/>
              <w:rPr>
                <w:rFonts w:eastAsia="Calibri"/>
                <w:kern w:val="0"/>
                <w:sz w:val="22"/>
                <w:szCs w:val="22"/>
                <w14:ligatures w14:val="none"/>
              </w:rPr>
            </w:pPr>
          </w:p>
          <w:p w14:paraId="7807BC81"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Proposals for staffing and faculty expansion are part of annual processes of staffing plans and academic unit plans.</w:t>
            </w:r>
          </w:p>
          <w:p w14:paraId="5BD794B3" w14:textId="77777777" w:rsidR="004F0E58" w:rsidRPr="004F0E58" w:rsidRDefault="004F0E58" w:rsidP="004F0E58">
            <w:pPr>
              <w:widowControl w:val="0"/>
              <w:rPr>
                <w:rFonts w:eastAsia="Times New Roman"/>
                <w:b/>
                <w:kern w:val="0"/>
                <w:sz w:val="22"/>
                <w:szCs w:val="22"/>
                <w:lang w:val="en-US"/>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78709055" w14:textId="77777777" w:rsidR="004F0E58" w:rsidRPr="004F0E58" w:rsidRDefault="004F0E58" w:rsidP="004F0E58">
            <w:pPr>
              <w:widowControl w:val="0"/>
              <w:rPr>
                <w:rFonts w:eastAsia="Times New Roman"/>
                <w:bCs/>
                <w:iCs/>
                <w:kern w:val="0"/>
                <w:sz w:val="22"/>
                <w:szCs w:val="22"/>
                <w:lang w:val="en-US"/>
                <w14:ligatures w14:val="none"/>
              </w:rPr>
            </w:pPr>
          </w:p>
        </w:tc>
        <w:tc>
          <w:tcPr>
            <w:tcW w:w="1935" w:type="dxa"/>
            <w:tcBorders>
              <w:top w:val="single" w:sz="4" w:space="0" w:color="000000"/>
              <w:left w:val="single" w:sz="4" w:space="0" w:color="000000"/>
              <w:bottom w:val="single" w:sz="4" w:space="0" w:color="000000"/>
              <w:right w:val="single" w:sz="4" w:space="0" w:color="000000"/>
            </w:tcBorders>
            <w:shd w:val="clear" w:color="auto" w:fill="D9D9D9"/>
          </w:tcPr>
          <w:p w14:paraId="115E1002" w14:textId="77777777" w:rsidR="004F0E58" w:rsidRPr="004F0E58" w:rsidRDefault="004F0E58" w:rsidP="004F0E58">
            <w:pPr>
              <w:widowControl w:val="0"/>
              <w:rPr>
                <w:rFonts w:eastAsia="Times New Roman"/>
                <w:b/>
                <w:kern w:val="0"/>
                <w:sz w:val="22"/>
                <w:szCs w:val="22"/>
                <w:lang w:val="en-US"/>
                <w14:ligatures w14:val="none"/>
              </w:rPr>
            </w:pPr>
          </w:p>
        </w:tc>
      </w:tr>
      <w:tr w:rsidR="004F0E58" w:rsidRPr="004F0E58" w14:paraId="48B7F0B3" w14:textId="77777777" w:rsidTr="004F0E58">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tcPr>
          <w:p w14:paraId="60C034D6"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Times New Roman"/>
                <w:b/>
                <w:kern w:val="0"/>
                <w:sz w:val="22"/>
                <w:szCs w:val="22"/>
                <w:lang w:val="en-US"/>
                <w14:ligatures w14:val="none"/>
              </w:rPr>
              <w:t>BA Criminology</w:t>
            </w:r>
          </w:p>
        </w:tc>
      </w:tr>
      <w:tr w:rsidR="004F0E58" w:rsidRPr="004F0E58" w14:paraId="4AA3BFA4"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5399DFA3" w14:textId="77777777" w:rsidR="004F0E58" w:rsidRPr="004F0E58" w:rsidRDefault="004F0E58" w:rsidP="004F0E58">
            <w:pPr>
              <w:widowControl w:val="0"/>
              <w:autoSpaceDE w:val="0"/>
              <w:autoSpaceDN w:val="0"/>
              <w:adjustRightInd w:val="0"/>
              <w:rPr>
                <w:rFonts w:eastAsia="Times New Roman"/>
                <w:bCs/>
                <w:color w:val="000000"/>
                <w:kern w:val="0"/>
                <w:sz w:val="22"/>
                <w:szCs w:val="22"/>
                <w:lang w:val="en-US"/>
                <w14:ligatures w14:val="none"/>
              </w:rPr>
            </w:pPr>
            <w:r w:rsidRPr="004F0E58">
              <w:rPr>
                <w:rFonts w:eastAsia="Times New Roman"/>
                <w:b/>
                <w:kern w:val="0"/>
                <w:sz w:val="22"/>
                <w:szCs w:val="22"/>
                <w14:ligatures w14:val="none"/>
              </w:rPr>
              <w:t>Recommendation 3</w:t>
            </w:r>
          </w:p>
          <w:p w14:paraId="51255D89" w14:textId="77777777" w:rsidR="004F0E58" w:rsidRPr="004F0E58" w:rsidRDefault="004F0E58" w:rsidP="004F0E58">
            <w:pPr>
              <w:widowControl w:val="0"/>
              <w:tabs>
                <w:tab w:val="left" w:pos="798"/>
              </w:tabs>
              <w:rPr>
                <w:rFonts w:eastAsia="Times New Roman"/>
                <w:kern w:val="0"/>
                <w:sz w:val="22"/>
                <w:szCs w:val="22"/>
                <w14:ligatures w14:val="none"/>
              </w:rPr>
            </w:pPr>
            <w:r w:rsidRPr="004F0E58">
              <w:rPr>
                <w:rFonts w:eastAsia="Times New Roman"/>
                <w:kern w:val="0"/>
                <w:sz w:val="22"/>
                <w:szCs w:val="22"/>
                <w14:ligatures w14:val="none"/>
              </w:rPr>
              <w:t>That the Program promote equity by establishing course enrollment caps for all Criminology courses well before the start of each term.</w:t>
            </w:r>
          </w:p>
          <w:p w14:paraId="21822B23" w14:textId="77777777" w:rsidR="004F0E58" w:rsidRPr="004F0E58" w:rsidRDefault="004F0E58" w:rsidP="004F0E58">
            <w:pPr>
              <w:widowControl w:val="0"/>
              <w:tabs>
                <w:tab w:val="left" w:pos="798"/>
              </w:tabs>
              <w:rPr>
                <w:rFonts w:eastAsia="Times New Roman"/>
                <w:bCs/>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19BD9371"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Discuss performance of enrollments caps already in effect this year.</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18CE1298"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January 2026</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34AC2211"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 with Deans from Durham and Peterborough</w:t>
            </w:r>
          </w:p>
        </w:tc>
      </w:tr>
      <w:tr w:rsidR="004F0E58" w:rsidRPr="004F0E58" w14:paraId="3051C91F"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6FBCBC7" w14:textId="77777777" w:rsidR="004F0E58" w:rsidRPr="004F0E58" w:rsidRDefault="004F0E58" w:rsidP="004F0E58">
            <w:pPr>
              <w:widowControl w:val="0"/>
              <w:autoSpaceDE w:val="0"/>
              <w:autoSpaceDN w:val="0"/>
              <w:adjustRightInd w:val="0"/>
              <w:rPr>
                <w:rFonts w:eastAsia="Times New Roman"/>
                <w:bCs/>
                <w:color w:val="000000"/>
                <w:kern w:val="0"/>
                <w:sz w:val="22"/>
                <w:szCs w:val="22"/>
                <w:lang w:val="en-US"/>
                <w14:ligatures w14:val="none"/>
              </w:rPr>
            </w:pPr>
            <w:r w:rsidRPr="004F0E58">
              <w:rPr>
                <w:rFonts w:eastAsia="Times New Roman"/>
                <w:b/>
                <w:kern w:val="0"/>
                <w:sz w:val="22"/>
                <w:szCs w:val="22"/>
                <w14:ligatures w14:val="none"/>
              </w:rPr>
              <w:t>Recommendation 4</w:t>
            </w:r>
          </w:p>
          <w:p w14:paraId="04C53291" w14:textId="77777777" w:rsidR="004F0E58" w:rsidRPr="004F0E58" w:rsidRDefault="004F0E58" w:rsidP="004F0E58">
            <w:pPr>
              <w:widowControl w:val="0"/>
              <w:tabs>
                <w:tab w:val="left" w:pos="798"/>
              </w:tabs>
              <w:rPr>
                <w:rFonts w:eastAsia="Times New Roman"/>
                <w:kern w:val="0"/>
                <w:sz w:val="22"/>
                <w:szCs w:val="22"/>
                <w14:ligatures w14:val="none"/>
              </w:rPr>
            </w:pPr>
            <w:r w:rsidRPr="004F0E58">
              <w:rPr>
                <w:rFonts w:eastAsia="Times New Roman"/>
                <w:kern w:val="0"/>
                <w:sz w:val="22"/>
                <w:szCs w:val="22"/>
                <w14:ligatures w14:val="none"/>
              </w:rPr>
              <w:t>That the Program provide additional support to faculty—particularly newer members—to help maintain pedagogical rigor.</w:t>
            </w:r>
          </w:p>
          <w:p w14:paraId="1C318AAB"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33A1791F"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 xml:space="preserve">Trent Teaching Commons has expertise in offering online courses. The Department is encouraged to seek out their support.  </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54B05A2D"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April 2026  </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0C8047DE"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 xml:space="preserve">Chair </w:t>
            </w:r>
          </w:p>
        </w:tc>
      </w:tr>
      <w:tr w:rsidR="004F0E58" w:rsidRPr="004F0E58" w14:paraId="52B13231"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4C9D69F3"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r w:rsidRPr="004F0E58">
              <w:rPr>
                <w:rFonts w:eastAsia="Times New Roman"/>
                <w:b/>
                <w:kern w:val="0"/>
                <w:sz w:val="22"/>
                <w:szCs w:val="22"/>
                <w14:ligatures w14:val="none"/>
              </w:rPr>
              <w:t>Recommendation 5</w:t>
            </w:r>
          </w:p>
          <w:p w14:paraId="4DF67840"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That the Program encourage faculty to set clear communication expectations at the start of the term, which will help reduce the volume of student emails in online courses.</w:t>
            </w:r>
          </w:p>
          <w:p w14:paraId="03701B73"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ED9C957"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lastRenderedPageBreak/>
              <w:t>The Department has begun addressing this issue.</w:t>
            </w:r>
          </w:p>
          <w:p w14:paraId="040E0226" w14:textId="77777777" w:rsidR="004F0E58" w:rsidRPr="004F0E58" w:rsidRDefault="004F0E58" w:rsidP="004F0E58">
            <w:pPr>
              <w:widowControl w:val="0"/>
              <w:rPr>
                <w:rFonts w:eastAsia="Calibri"/>
                <w:kern w:val="0"/>
                <w:sz w:val="22"/>
                <w:szCs w:val="22"/>
                <w14:ligatures w14:val="none"/>
              </w:rPr>
            </w:pPr>
          </w:p>
          <w:p w14:paraId="287522E1"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 xml:space="preserve">The Implementation Report should include updates on any strategies or mechanisms used to manage student </w:t>
            </w:r>
            <w:r w:rsidRPr="004F0E58">
              <w:rPr>
                <w:rFonts w:eastAsia="Calibri"/>
                <w:kern w:val="0"/>
                <w:sz w:val="22"/>
                <w:szCs w:val="22"/>
                <w14:ligatures w14:val="none"/>
              </w:rPr>
              <w:lastRenderedPageBreak/>
              <w:t>communication.</w:t>
            </w:r>
          </w:p>
          <w:p w14:paraId="30C7D89F" w14:textId="77777777" w:rsidR="004F0E58" w:rsidRPr="004F0E58" w:rsidRDefault="004F0E58" w:rsidP="004F0E58">
            <w:pPr>
              <w:widowControl w:val="0"/>
              <w:rPr>
                <w:rFonts w:eastAsia="Times New Roman"/>
                <w:b/>
                <w:kern w:val="0"/>
                <w:sz w:val="22"/>
                <w:szCs w:val="22"/>
                <w:lang w:val="en-US"/>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7DCE1F27"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lastRenderedPageBreak/>
              <w:t xml:space="preserve">April 2026  </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78E21BD"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w:t>
            </w:r>
          </w:p>
        </w:tc>
      </w:tr>
      <w:tr w:rsidR="004F0E58" w:rsidRPr="004F0E58" w14:paraId="57EF5A71"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72DF562B"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r w:rsidRPr="004F0E58">
              <w:rPr>
                <w:rFonts w:eastAsia="Times New Roman"/>
                <w:b/>
                <w:kern w:val="0"/>
                <w:sz w:val="22"/>
                <w:szCs w:val="22"/>
                <w14:ligatures w14:val="none"/>
              </w:rPr>
              <w:t>Recommendation 6</w:t>
            </w:r>
          </w:p>
          <w:p w14:paraId="7CF99DB0"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w:t>
            </w:r>
            <w:proofErr w:type="gramStart"/>
            <w:r w:rsidRPr="004F0E58">
              <w:rPr>
                <w:rFonts w:eastAsia="Times New Roman"/>
                <w:color w:val="000000"/>
                <w:kern w:val="0"/>
                <w:sz w:val="22"/>
                <w:szCs w:val="22"/>
                <w:lang w:val="en-US"/>
                <w14:ligatures w14:val="none"/>
              </w:rPr>
              <w:t>consider</w:t>
            </w:r>
            <w:proofErr w:type="gramEnd"/>
            <w:r w:rsidRPr="004F0E58">
              <w:rPr>
                <w:rFonts w:eastAsia="Times New Roman"/>
                <w:color w:val="000000"/>
                <w:kern w:val="0"/>
                <w:sz w:val="22"/>
                <w:szCs w:val="22"/>
                <w:lang w:val="en-US"/>
                <w14:ligatures w14:val="none"/>
              </w:rPr>
              <w:t xml:space="preserve"> hiring course assistants, rather than workshop leaders, to support online courses. </w:t>
            </w:r>
          </w:p>
          <w:p w14:paraId="0F2362B3"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p>
          <w:p w14:paraId="5B8E26F2"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p>
          <w:p w14:paraId="7778FB69"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751E1C1" w14:textId="77777777" w:rsidR="004F0E58" w:rsidRPr="004F0E58" w:rsidRDefault="004F0E58" w:rsidP="004F0E58">
            <w:pPr>
              <w:widowControl w:val="0"/>
              <w:rPr>
                <w:rFonts w:eastAsia="Times New Roman"/>
                <w:bCs/>
                <w:kern w:val="0"/>
                <w:sz w:val="22"/>
                <w:szCs w:val="22"/>
                <w:lang w:val="en-US"/>
                <w14:ligatures w14:val="none"/>
              </w:rPr>
            </w:pPr>
            <w:r w:rsidRPr="004F0E58">
              <w:rPr>
                <w:rFonts w:eastAsia="Times New Roman"/>
                <w:bCs/>
                <w:kern w:val="0"/>
                <w:sz w:val="22"/>
                <w:szCs w:val="22"/>
                <w:lang w:val="en-US"/>
                <w14:ligatures w14:val="none"/>
              </w:rPr>
              <w:t xml:space="preserve">No follow-up is required. </w:t>
            </w:r>
          </w:p>
          <w:p w14:paraId="1B4E97A3" w14:textId="77777777" w:rsidR="004F0E58" w:rsidRPr="004F0E58" w:rsidRDefault="004F0E58" w:rsidP="004F0E58">
            <w:pPr>
              <w:widowControl w:val="0"/>
              <w:rPr>
                <w:rFonts w:eastAsia="Times New Roman"/>
                <w:bCs/>
                <w:kern w:val="0"/>
                <w:sz w:val="22"/>
                <w:szCs w:val="22"/>
                <w:lang w:val="en-US"/>
                <w14:ligatures w14:val="none"/>
              </w:rPr>
            </w:pPr>
          </w:p>
          <w:p w14:paraId="311BF8B2" w14:textId="77777777" w:rsidR="004F0E58" w:rsidRPr="004F0E58" w:rsidRDefault="004F0E58" w:rsidP="004F0E58">
            <w:pPr>
              <w:widowControl w:val="0"/>
              <w:rPr>
                <w:rFonts w:eastAsia="Times New Roman"/>
                <w:bCs/>
                <w:kern w:val="0"/>
                <w:sz w:val="22"/>
                <w:szCs w:val="22"/>
                <w:lang w:val="en-US"/>
                <w14:ligatures w14:val="none"/>
              </w:rPr>
            </w:pPr>
            <w:r w:rsidRPr="004F0E58">
              <w:rPr>
                <w:rFonts w:eastAsia="Times New Roman"/>
                <w:bCs/>
                <w:kern w:val="0"/>
                <w:sz w:val="22"/>
                <w:szCs w:val="22"/>
                <w:lang w:val="en-US"/>
                <w14:ligatures w14:val="none"/>
              </w:rPr>
              <w:t>This is already an ongoing discussion because proposals for staffing and instructional support are part of annual processes of staffing plans and academic unit plans.</w:t>
            </w:r>
          </w:p>
          <w:p w14:paraId="19208C26" w14:textId="77777777" w:rsidR="004F0E58" w:rsidRPr="004F0E58" w:rsidRDefault="004F0E58" w:rsidP="004F0E58">
            <w:pPr>
              <w:widowControl w:val="0"/>
              <w:jc w:val="center"/>
              <w:rPr>
                <w:rFonts w:eastAsia="Times New Roman"/>
                <w:b/>
                <w:kern w:val="0"/>
                <w:sz w:val="22"/>
                <w:szCs w:val="22"/>
                <w:lang w:val="en-US"/>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10AD4C39" w14:textId="77777777" w:rsidR="004F0E58" w:rsidRPr="004F0E58" w:rsidRDefault="004F0E58" w:rsidP="004F0E58">
            <w:pPr>
              <w:widowControl w:val="0"/>
              <w:jc w:val="center"/>
              <w:rPr>
                <w:rFonts w:eastAsia="Times New Roman"/>
                <w:b/>
                <w:iCs/>
                <w:kern w:val="0"/>
                <w:sz w:val="22"/>
                <w:szCs w:val="22"/>
                <w:lang w:val="en-US"/>
                <w14:ligatures w14:val="none"/>
              </w:rPr>
            </w:pPr>
          </w:p>
        </w:tc>
        <w:tc>
          <w:tcPr>
            <w:tcW w:w="1935" w:type="dxa"/>
            <w:tcBorders>
              <w:top w:val="single" w:sz="4" w:space="0" w:color="000000"/>
              <w:left w:val="single" w:sz="4" w:space="0" w:color="000000"/>
              <w:bottom w:val="single" w:sz="4" w:space="0" w:color="000000"/>
              <w:right w:val="single" w:sz="4" w:space="0" w:color="000000"/>
            </w:tcBorders>
            <w:shd w:val="clear" w:color="auto" w:fill="D9D9D9"/>
          </w:tcPr>
          <w:p w14:paraId="6351E5F2" w14:textId="77777777" w:rsidR="004F0E58" w:rsidRPr="004F0E58" w:rsidRDefault="004F0E58" w:rsidP="004F0E58">
            <w:pPr>
              <w:widowControl w:val="0"/>
              <w:jc w:val="center"/>
              <w:rPr>
                <w:rFonts w:eastAsia="Times New Roman"/>
                <w:b/>
                <w:kern w:val="0"/>
                <w:sz w:val="22"/>
                <w:szCs w:val="22"/>
                <w:lang w:val="en-US"/>
                <w14:ligatures w14:val="none"/>
              </w:rPr>
            </w:pPr>
          </w:p>
        </w:tc>
      </w:tr>
      <w:tr w:rsidR="004F0E58" w:rsidRPr="004F0E58" w14:paraId="7AD44ADC"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146D7F9D"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r w:rsidRPr="004F0E58">
              <w:rPr>
                <w:rFonts w:eastAsia="Times New Roman"/>
                <w:b/>
                <w:kern w:val="0"/>
                <w:sz w:val="22"/>
                <w:szCs w:val="22"/>
                <w14:ligatures w14:val="none"/>
              </w:rPr>
              <w:t>Recommendation 7</w:t>
            </w:r>
          </w:p>
          <w:p w14:paraId="47C5665A"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w:t>
            </w:r>
            <w:proofErr w:type="gramStart"/>
            <w:r w:rsidRPr="004F0E58">
              <w:rPr>
                <w:rFonts w:eastAsia="Times New Roman"/>
                <w:color w:val="000000"/>
                <w:kern w:val="0"/>
                <w:sz w:val="22"/>
                <w:szCs w:val="22"/>
                <w:lang w:val="en-US"/>
                <w14:ligatures w14:val="none"/>
              </w:rPr>
              <w:t>examine</w:t>
            </w:r>
            <w:proofErr w:type="gramEnd"/>
            <w:r w:rsidRPr="004F0E58">
              <w:rPr>
                <w:rFonts w:eastAsia="Times New Roman"/>
                <w:color w:val="000000"/>
                <w:kern w:val="0"/>
                <w:sz w:val="22"/>
                <w:szCs w:val="22"/>
                <w:lang w:val="en-US"/>
                <w14:ligatures w14:val="none"/>
              </w:rPr>
              <w:t xml:space="preserve"> ways to create a sense of community for Criminology students.</w:t>
            </w:r>
          </w:p>
          <w:p w14:paraId="7AF46CFF"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E067ED5"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No follow-up is required.</w:t>
            </w:r>
          </w:p>
          <w:p w14:paraId="2A3C5F29" w14:textId="77777777" w:rsidR="004F0E58" w:rsidRPr="004F0E58" w:rsidRDefault="004F0E58" w:rsidP="004F0E58">
            <w:pPr>
              <w:widowControl w:val="0"/>
              <w:rPr>
                <w:rFonts w:eastAsia="Calibri"/>
                <w:kern w:val="0"/>
                <w:sz w:val="22"/>
                <w:szCs w:val="22"/>
                <w14:ligatures w14:val="none"/>
              </w:rPr>
            </w:pPr>
          </w:p>
          <w:p w14:paraId="691B810F"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The Program is encouraged to find ways to build a sense of community for their students, however, this is not a program quality issue.</w:t>
            </w:r>
          </w:p>
          <w:p w14:paraId="5F32FC22" w14:textId="77777777" w:rsidR="004F0E58" w:rsidRPr="004F0E58" w:rsidRDefault="004F0E58" w:rsidP="004F0E58">
            <w:pPr>
              <w:widowControl w:val="0"/>
              <w:rPr>
                <w:rFonts w:eastAsia="Calibri"/>
                <w:kern w:val="0"/>
                <w:sz w:val="22"/>
                <w:szCs w:val="22"/>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41FF7C78"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auto" w:fill="D9D9D9"/>
          </w:tcPr>
          <w:p w14:paraId="0156D274" w14:textId="77777777" w:rsidR="004F0E58" w:rsidRPr="004F0E58" w:rsidRDefault="004F0E58" w:rsidP="004F0E58">
            <w:pPr>
              <w:widowControl w:val="0"/>
              <w:rPr>
                <w:rFonts w:eastAsia="Times New Roman"/>
                <w:b/>
                <w:kern w:val="0"/>
                <w:sz w:val="22"/>
                <w:szCs w:val="22"/>
                <w:lang w:val="en-US"/>
                <w14:ligatures w14:val="none"/>
              </w:rPr>
            </w:pPr>
          </w:p>
        </w:tc>
      </w:tr>
      <w:tr w:rsidR="004F0E58" w:rsidRPr="004F0E58" w14:paraId="6741E8BB"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D48C5E5"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r w:rsidRPr="004F0E58">
              <w:rPr>
                <w:rFonts w:eastAsia="Times New Roman"/>
                <w:b/>
                <w:kern w:val="0"/>
                <w:sz w:val="22"/>
                <w:szCs w:val="22"/>
                <w14:ligatures w14:val="none"/>
              </w:rPr>
              <w:t>Recommendation 8</w:t>
            </w:r>
          </w:p>
          <w:p w14:paraId="2BDCBDD5"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w:t>
            </w:r>
            <w:proofErr w:type="gramStart"/>
            <w:r w:rsidRPr="004F0E58">
              <w:rPr>
                <w:rFonts w:eastAsia="Times New Roman"/>
                <w:color w:val="000000"/>
                <w:kern w:val="0"/>
                <w:sz w:val="22"/>
                <w:szCs w:val="22"/>
                <w:lang w:val="en-US"/>
                <w14:ligatures w14:val="none"/>
              </w:rPr>
              <w:t>examine</w:t>
            </w:r>
            <w:proofErr w:type="gramEnd"/>
            <w:r w:rsidRPr="004F0E58">
              <w:rPr>
                <w:rFonts w:eastAsia="Times New Roman"/>
                <w:color w:val="000000"/>
                <w:kern w:val="0"/>
                <w:sz w:val="22"/>
                <w:szCs w:val="22"/>
                <w:lang w:val="en-US"/>
                <w14:ligatures w14:val="none"/>
              </w:rPr>
              <w:t xml:space="preserve"> the Criminology Program Coordinator role.</w:t>
            </w:r>
          </w:p>
          <w:p w14:paraId="4E6B4D79"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5880489"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The Program should discuss the benefits of a Coordinator position versus an Associate Chair position, taking into consideration any budgetary implications.</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4E22AC9F"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April 2026  </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23453A16"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Chair, in consultation with Deans, Peterborough and Durham GTA in consultation with Dean, Durham.</w:t>
            </w:r>
          </w:p>
          <w:p w14:paraId="31D22E2B" w14:textId="77777777" w:rsidR="004F0E58" w:rsidRPr="004F0E58" w:rsidRDefault="004F0E58" w:rsidP="004F0E58">
            <w:pPr>
              <w:widowControl w:val="0"/>
              <w:rPr>
                <w:rFonts w:eastAsia="Times New Roman"/>
                <w:b/>
                <w:kern w:val="0"/>
                <w:sz w:val="22"/>
                <w:szCs w:val="22"/>
                <w:lang w:val="en-US"/>
                <w14:ligatures w14:val="none"/>
              </w:rPr>
            </w:pPr>
          </w:p>
        </w:tc>
      </w:tr>
      <w:tr w:rsidR="004F0E58" w:rsidRPr="004F0E58" w14:paraId="0F98CD77"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668A4837" w14:textId="77777777" w:rsidR="004F0E58" w:rsidRPr="004F0E58" w:rsidRDefault="004F0E58" w:rsidP="004F0E58">
            <w:pPr>
              <w:widowControl w:val="0"/>
              <w:autoSpaceDE w:val="0"/>
              <w:autoSpaceDN w:val="0"/>
              <w:adjustRightInd w:val="0"/>
              <w:rPr>
                <w:rFonts w:eastAsia="Times New Roman"/>
                <w:b/>
                <w:bCs/>
                <w:color w:val="000000"/>
                <w:kern w:val="0"/>
                <w:sz w:val="22"/>
                <w:szCs w:val="22"/>
                <w:lang w:val="en-US"/>
                <w14:ligatures w14:val="none"/>
              </w:rPr>
            </w:pPr>
            <w:r w:rsidRPr="004F0E58">
              <w:rPr>
                <w:rFonts w:eastAsia="Times New Roman"/>
                <w:b/>
                <w:bCs/>
                <w:color w:val="000000"/>
                <w:kern w:val="0"/>
                <w:sz w:val="22"/>
                <w:szCs w:val="22"/>
                <w:lang w:val="en-US"/>
                <w14:ligatures w14:val="none"/>
              </w:rPr>
              <w:t>Recommendation 9</w:t>
            </w:r>
          </w:p>
          <w:p w14:paraId="6201509A"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w:t>
            </w:r>
            <w:proofErr w:type="gramStart"/>
            <w:r w:rsidRPr="004F0E58">
              <w:rPr>
                <w:rFonts w:eastAsia="Times New Roman"/>
                <w:color w:val="000000"/>
                <w:kern w:val="0"/>
                <w:sz w:val="22"/>
                <w:szCs w:val="22"/>
                <w:lang w:val="en-US"/>
                <w14:ligatures w14:val="none"/>
              </w:rPr>
              <w:t>hire</w:t>
            </w:r>
            <w:proofErr w:type="gramEnd"/>
            <w:r w:rsidRPr="004F0E58">
              <w:rPr>
                <w:rFonts w:eastAsia="Times New Roman"/>
                <w:color w:val="000000"/>
                <w:kern w:val="0"/>
                <w:sz w:val="22"/>
                <w:szCs w:val="22"/>
                <w:lang w:val="en-US"/>
                <w14:ligatures w14:val="none"/>
              </w:rPr>
              <w:t xml:space="preserve"> a second administrative assistant to help administer the Criminology program and/or support faculty at Durham. </w:t>
            </w:r>
          </w:p>
          <w:p w14:paraId="677E0FFD"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6A385A43"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Administrative support of the program across the two campuses should be discussed.</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0EEBB820"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Fall 2025 (Chair’s meeting with Dean as routinely scheduled)</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040359CD"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 with Deans, Peterborough and Durham GTA.</w:t>
            </w:r>
          </w:p>
        </w:tc>
      </w:tr>
      <w:tr w:rsidR="004F0E58" w:rsidRPr="004F0E58" w14:paraId="24091CB4"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740F0659"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r w:rsidRPr="004F0E58">
              <w:rPr>
                <w:rFonts w:eastAsia="Times New Roman"/>
                <w:b/>
                <w:kern w:val="0"/>
                <w:sz w:val="22"/>
                <w:szCs w:val="22"/>
                <w14:ligatures w14:val="none"/>
              </w:rPr>
              <w:t>Recommendation 10</w:t>
            </w:r>
          </w:p>
          <w:p w14:paraId="7F738667"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w:t>
            </w:r>
            <w:proofErr w:type="gramStart"/>
            <w:r w:rsidRPr="004F0E58">
              <w:rPr>
                <w:rFonts w:eastAsia="Times New Roman"/>
                <w:color w:val="000000"/>
                <w:kern w:val="0"/>
                <w:sz w:val="22"/>
                <w:szCs w:val="22"/>
                <w:lang w:val="en-US"/>
                <w14:ligatures w14:val="none"/>
              </w:rPr>
              <w:t>create</w:t>
            </w:r>
            <w:proofErr w:type="gramEnd"/>
            <w:r w:rsidRPr="004F0E58">
              <w:rPr>
                <w:rFonts w:eastAsia="Times New Roman"/>
                <w:color w:val="000000"/>
                <w:kern w:val="0"/>
                <w:sz w:val="22"/>
                <w:szCs w:val="22"/>
                <w:lang w:val="en-US"/>
                <w14:ligatures w14:val="none"/>
              </w:rPr>
              <w:t xml:space="preserve"> more equity in service work by creating a more transparent, democratic, and consultative process for assigning committee work.</w:t>
            </w:r>
          </w:p>
          <w:p w14:paraId="0DF82A36"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47818C9"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During the academic year, the Chair and Deans should clarify expectations around faculty involvement in committee work within the Program.</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0E5B8F38"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Fall 2025 (Chair’s meeting with Deans as routinely scheduled)</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99213A9"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 in discussion with Deans, Peterborough and Durham GTA.</w:t>
            </w:r>
          </w:p>
        </w:tc>
      </w:tr>
      <w:tr w:rsidR="004F0E58" w:rsidRPr="004F0E58" w14:paraId="662A17B1"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C9EE4DC"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r w:rsidRPr="004F0E58">
              <w:rPr>
                <w:rFonts w:eastAsia="Times New Roman"/>
                <w:b/>
                <w:kern w:val="0"/>
                <w:sz w:val="22"/>
                <w:szCs w:val="22"/>
                <w14:ligatures w14:val="none"/>
              </w:rPr>
              <w:t>Recommendation 11</w:t>
            </w:r>
          </w:p>
          <w:p w14:paraId="46BE79A1"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That the Program examine course planning schedules and course offerings to ensure students have timely and flexible access to courses to allow for planned degree completion.</w:t>
            </w:r>
          </w:p>
          <w:p w14:paraId="144CE7B0"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65610860"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Scheduling of course offerings should be reviewed and revised to ensure timely degree completion.</w:t>
            </w:r>
          </w:p>
          <w:p w14:paraId="568B48FA" w14:textId="77777777" w:rsidR="004F0E58" w:rsidRPr="004F0E58" w:rsidRDefault="004F0E58" w:rsidP="004F0E58">
            <w:pPr>
              <w:widowControl w:val="0"/>
              <w:rPr>
                <w:rFonts w:eastAsia="Calibri"/>
                <w:kern w:val="0"/>
                <w:sz w:val="22"/>
                <w:szCs w:val="22"/>
                <w14:ligatures w14:val="none"/>
              </w:rPr>
            </w:pPr>
          </w:p>
          <w:p w14:paraId="387B938F"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Department to provide update.</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77D8AEA3"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April 2026  </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4EB08D50"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w:t>
            </w:r>
          </w:p>
        </w:tc>
      </w:tr>
      <w:tr w:rsidR="004F0E58" w:rsidRPr="004F0E58" w14:paraId="478C98E0" w14:textId="77777777" w:rsidTr="004F0E58">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tcPr>
          <w:p w14:paraId="77DBD523"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Times New Roman"/>
                <w:b/>
                <w:kern w:val="0"/>
                <w:sz w:val="22"/>
                <w:szCs w:val="22"/>
                <w:lang w:val="en-US"/>
                <w14:ligatures w14:val="none"/>
              </w:rPr>
              <w:t>Both BA Sociology and BA Criminology</w:t>
            </w:r>
          </w:p>
        </w:tc>
      </w:tr>
      <w:tr w:rsidR="004F0E58" w:rsidRPr="004F0E58" w14:paraId="21A61211"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77D19845" w14:textId="77777777" w:rsidR="004F0E58" w:rsidRPr="004F0E58" w:rsidRDefault="004F0E58" w:rsidP="004F0E58">
            <w:pPr>
              <w:widowControl w:val="0"/>
              <w:autoSpaceDE w:val="0"/>
              <w:autoSpaceDN w:val="0"/>
              <w:adjustRightInd w:val="0"/>
              <w:rPr>
                <w:rFonts w:eastAsia="Times New Roman"/>
                <w:b/>
                <w:bCs/>
                <w:color w:val="000000"/>
                <w:kern w:val="0"/>
                <w:sz w:val="22"/>
                <w:szCs w:val="22"/>
                <w:lang w:val="en-US"/>
                <w14:ligatures w14:val="none"/>
              </w:rPr>
            </w:pPr>
            <w:r w:rsidRPr="004F0E58">
              <w:rPr>
                <w:rFonts w:eastAsia="Times New Roman"/>
                <w:b/>
                <w:bCs/>
                <w:color w:val="000000"/>
                <w:kern w:val="0"/>
                <w:sz w:val="22"/>
                <w:szCs w:val="22"/>
                <w:lang w:val="en-US"/>
                <w14:ligatures w14:val="none"/>
              </w:rPr>
              <w:lastRenderedPageBreak/>
              <w:t>Recommendation 12</w:t>
            </w:r>
          </w:p>
          <w:p w14:paraId="3ECB9989"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w:t>
            </w:r>
            <w:proofErr w:type="gramStart"/>
            <w:r w:rsidRPr="004F0E58">
              <w:rPr>
                <w:rFonts w:eastAsia="Times New Roman"/>
                <w:color w:val="000000"/>
                <w:kern w:val="0"/>
                <w:sz w:val="22"/>
                <w:szCs w:val="22"/>
                <w:lang w:val="en-US"/>
                <w14:ligatures w14:val="none"/>
              </w:rPr>
              <w:t>streamline</w:t>
            </w:r>
            <w:proofErr w:type="gramEnd"/>
            <w:r w:rsidRPr="004F0E58">
              <w:rPr>
                <w:rFonts w:eastAsia="Times New Roman"/>
                <w:color w:val="000000"/>
                <w:kern w:val="0"/>
                <w:sz w:val="22"/>
                <w:szCs w:val="22"/>
                <w:lang w:val="en-US"/>
                <w14:ligatures w14:val="none"/>
              </w:rPr>
              <w:t xml:space="preserve"> the decision-making approval process by delegating decision making authority to the Associate Chair.  </w:t>
            </w:r>
          </w:p>
          <w:p w14:paraId="23CDEA06"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2D97A612"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The possibility of an Associate Chair position should be discussed; budgetary implications should be taken into consideration.</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2DCADBBA"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April 2026  </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5A5C4A95"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 with Deans, Peterborough and Durham GTA.</w:t>
            </w:r>
          </w:p>
        </w:tc>
      </w:tr>
      <w:tr w:rsidR="004F0E58" w:rsidRPr="004F0E58" w14:paraId="7E767E3B"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7B0FEB24" w14:textId="77777777" w:rsidR="004F0E58" w:rsidRPr="004F0E58" w:rsidRDefault="004F0E58" w:rsidP="004F0E58">
            <w:pPr>
              <w:widowControl w:val="0"/>
              <w:autoSpaceDE w:val="0"/>
              <w:autoSpaceDN w:val="0"/>
              <w:adjustRightInd w:val="0"/>
              <w:rPr>
                <w:rFonts w:eastAsia="Times New Roman"/>
                <w:b/>
                <w:bCs/>
                <w:color w:val="000000"/>
                <w:kern w:val="0"/>
                <w:sz w:val="22"/>
                <w:szCs w:val="22"/>
                <w:lang w:val="en-US"/>
                <w14:ligatures w14:val="none"/>
              </w:rPr>
            </w:pPr>
            <w:r w:rsidRPr="004F0E58">
              <w:rPr>
                <w:rFonts w:eastAsia="Times New Roman"/>
                <w:b/>
                <w:bCs/>
                <w:color w:val="000000"/>
                <w:kern w:val="0"/>
                <w:sz w:val="22"/>
                <w:szCs w:val="22"/>
                <w:lang w:val="en-US"/>
                <w14:ligatures w14:val="none"/>
              </w:rPr>
              <w:t>Recommendation 13</w:t>
            </w:r>
          </w:p>
          <w:p w14:paraId="2CBCC388"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ensure current growth needs are met first before implementing new programs (e.g., graduate programs) or more specializations. </w:t>
            </w:r>
          </w:p>
          <w:p w14:paraId="60A61132"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5DEE8E5E"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No follow-up is required.</w:t>
            </w:r>
          </w:p>
          <w:p w14:paraId="23D898DF" w14:textId="77777777" w:rsidR="004F0E58" w:rsidRPr="004F0E58" w:rsidRDefault="004F0E58" w:rsidP="004F0E58">
            <w:pPr>
              <w:widowControl w:val="0"/>
              <w:rPr>
                <w:rFonts w:eastAsia="Calibri"/>
                <w:kern w:val="0"/>
                <w:sz w:val="22"/>
                <w:szCs w:val="22"/>
                <w14:ligatures w14:val="none"/>
              </w:rPr>
            </w:pPr>
          </w:p>
          <w:p w14:paraId="476D6BFE"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Although an important point, this falls outside the purview of cyclical review.</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4BD4C5F7"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auto" w:fill="D9D9D9"/>
          </w:tcPr>
          <w:p w14:paraId="3CBB74A4"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 xml:space="preserve"> </w:t>
            </w:r>
          </w:p>
        </w:tc>
      </w:tr>
      <w:tr w:rsidR="004F0E58" w:rsidRPr="004F0E58" w14:paraId="3434D263"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22D5A8A7" w14:textId="77777777" w:rsidR="004F0E58" w:rsidRPr="004F0E58" w:rsidRDefault="004F0E58" w:rsidP="004F0E58">
            <w:pPr>
              <w:widowControl w:val="0"/>
              <w:autoSpaceDE w:val="0"/>
              <w:autoSpaceDN w:val="0"/>
              <w:adjustRightInd w:val="0"/>
              <w:rPr>
                <w:rFonts w:eastAsia="Times New Roman"/>
                <w:b/>
                <w:bCs/>
                <w:color w:val="000000"/>
                <w:kern w:val="0"/>
                <w:sz w:val="22"/>
                <w:szCs w:val="22"/>
                <w:lang w:val="en-US"/>
                <w14:ligatures w14:val="none"/>
              </w:rPr>
            </w:pPr>
            <w:r w:rsidRPr="004F0E58">
              <w:rPr>
                <w:rFonts w:eastAsia="Times New Roman"/>
                <w:b/>
                <w:bCs/>
                <w:color w:val="000000"/>
                <w:kern w:val="0"/>
                <w:sz w:val="22"/>
                <w:szCs w:val="22"/>
                <w:lang w:val="en-US"/>
                <w14:ligatures w14:val="none"/>
              </w:rPr>
              <w:t>Recommendation 14</w:t>
            </w:r>
          </w:p>
          <w:p w14:paraId="79B3D506"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establish clear department policies/guidelines on the provision of resources for faculty in the areas of teaching support, IT support, and research support. </w:t>
            </w:r>
          </w:p>
          <w:p w14:paraId="03003687"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3A388986"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Department to provide update.</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2600A12A"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April 2026  </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01339DAE"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w:t>
            </w:r>
          </w:p>
        </w:tc>
      </w:tr>
      <w:tr w:rsidR="004F0E58" w:rsidRPr="004F0E58" w14:paraId="0FB0FEE1"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6977DFF4" w14:textId="77777777" w:rsidR="004F0E58" w:rsidRPr="004F0E58" w:rsidRDefault="004F0E58" w:rsidP="004F0E58">
            <w:pPr>
              <w:widowControl w:val="0"/>
              <w:autoSpaceDE w:val="0"/>
              <w:autoSpaceDN w:val="0"/>
              <w:adjustRightInd w:val="0"/>
              <w:rPr>
                <w:rFonts w:eastAsia="Times New Roman"/>
                <w:b/>
                <w:bCs/>
                <w:color w:val="000000"/>
                <w:kern w:val="0"/>
                <w:sz w:val="22"/>
                <w:szCs w:val="22"/>
                <w:lang w:val="en-US"/>
                <w14:ligatures w14:val="none"/>
              </w:rPr>
            </w:pPr>
            <w:r w:rsidRPr="004F0E58">
              <w:rPr>
                <w:rFonts w:eastAsia="Times New Roman"/>
                <w:b/>
                <w:bCs/>
                <w:color w:val="000000"/>
                <w:kern w:val="0"/>
                <w:sz w:val="22"/>
                <w:szCs w:val="22"/>
                <w:lang w:val="en-US"/>
                <w14:ligatures w14:val="none"/>
              </w:rPr>
              <w:t>Recommendation 15</w:t>
            </w:r>
          </w:p>
          <w:p w14:paraId="36D77DA1" w14:textId="77777777" w:rsidR="004F0E58" w:rsidRPr="004F0E58" w:rsidRDefault="004F0E58" w:rsidP="004F0E58">
            <w:pPr>
              <w:widowControl w:val="0"/>
              <w:autoSpaceDE w:val="0"/>
              <w:autoSpaceDN w:val="0"/>
              <w:adjustRightInd w:val="0"/>
              <w:rPr>
                <w:rFonts w:eastAsia="Times New Roman"/>
                <w:color w:val="000000"/>
                <w:kern w:val="0"/>
                <w:sz w:val="22"/>
                <w:szCs w:val="22"/>
                <w:lang w:val="en-US"/>
                <w14:ligatures w14:val="none"/>
              </w:rPr>
            </w:pPr>
            <w:r w:rsidRPr="004F0E58">
              <w:rPr>
                <w:rFonts w:eastAsia="Times New Roman"/>
                <w:color w:val="000000"/>
                <w:kern w:val="0"/>
                <w:sz w:val="22"/>
                <w:szCs w:val="22"/>
                <w:lang w:val="en-US"/>
                <w14:ligatures w14:val="none"/>
              </w:rPr>
              <w:t xml:space="preserve">That the Program review course content in both Sociology and Criminology courses to eliminate excessive repetition of course materials across courses. </w:t>
            </w:r>
          </w:p>
          <w:p w14:paraId="03FB4D87" w14:textId="77777777" w:rsidR="004F0E58" w:rsidRPr="004F0E58" w:rsidRDefault="004F0E58" w:rsidP="004F0E58">
            <w:pPr>
              <w:widowControl w:val="0"/>
              <w:autoSpaceDE w:val="0"/>
              <w:autoSpaceDN w:val="0"/>
              <w:adjustRightInd w:val="0"/>
              <w:rPr>
                <w:rFonts w:eastAsia="Times New Roman"/>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5AD9E4D2"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A curriculum review of content in the SOCI and CRIM courses would help identify overlaps and perhaps lead to efficiencies.</w:t>
            </w:r>
          </w:p>
          <w:p w14:paraId="742C2FA4" w14:textId="77777777" w:rsidR="004F0E58" w:rsidRPr="004F0E58" w:rsidRDefault="004F0E58" w:rsidP="004F0E58">
            <w:pPr>
              <w:widowControl w:val="0"/>
              <w:rPr>
                <w:rFonts w:eastAsia="Calibri"/>
                <w:kern w:val="0"/>
                <w:sz w:val="22"/>
                <w:szCs w:val="22"/>
                <w14:ligatures w14:val="none"/>
              </w:rPr>
            </w:pPr>
          </w:p>
          <w:p w14:paraId="5E2CA13C"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An update should be provided as part of the Implementation Report.</w:t>
            </w:r>
          </w:p>
          <w:p w14:paraId="713261F8" w14:textId="77777777" w:rsidR="004F0E58" w:rsidRPr="004F0E58" w:rsidRDefault="004F0E58" w:rsidP="004F0E58">
            <w:pPr>
              <w:widowControl w:val="0"/>
              <w:rPr>
                <w:rFonts w:eastAsia="Times New Roman"/>
                <w:b/>
                <w:kern w:val="0"/>
                <w:sz w:val="22"/>
                <w:szCs w:val="22"/>
                <w:lang w:val="en-US"/>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34E56BDE"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April 2026  </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067F864"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w:t>
            </w:r>
          </w:p>
        </w:tc>
      </w:tr>
      <w:tr w:rsidR="004F0E58" w:rsidRPr="004F0E58" w14:paraId="50240262" w14:textId="77777777" w:rsidTr="004F0E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142EBC75" w14:textId="77777777" w:rsidR="004F0E58" w:rsidRPr="004F0E58" w:rsidRDefault="004F0E58" w:rsidP="004F0E58">
            <w:pPr>
              <w:widowControl w:val="0"/>
              <w:autoSpaceDE w:val="0"/>
              <w:autoSpaceDN w:val="0"/>
              <w:adjustRightInd w:val="0"/>
              <w:rPr>
                <w:rFonts w:eastAsia="Times New Roman"/>
                <w:b/>
                <w:bCs/>
                <w:color w:val="000000"/>
                <w:kern w:val="0"/>
                <w:sz w:val="22"/>
                <w:szCs w:val="22"/>
                <w14:ligatures w14:val="none"/>
              </w:rPr>
            </w:pPr>
            <w:r w:rsidRPr="004F0E58">
              <w:rPr>
                <w:rFonts w:eastAsia="Times New Roman"/>
                <w:b/>
                <w:bCs/>
                <w:color w:val="000000"/>
                <w:kern w:val="0"/>
                <w:sz w:val="22"/>
                <w:szCs w:val="22"/>
                <w14:ligatures w14:val="none"/>
              </w:rPr>
              <w:t>Recommendation 16</w:t>
            </w:r>
          </w:p>
          <w:p w14:paraId="60008940" w14:textId="77777777" w:rsidR="004F0E58" w:rsidRPr="004F0E58" w:rsidRDefault="004F0E58" w:rsidP="004F0E58">
            <w:pPr>
              <w:widowControl w:val="0"/>
              <w:autoSpaceDE w:val="0"/>
              <w:autoSpaceDN w:val="0"/>
              <w:adjustRightInd w:val="0"/>
              <w:rPr>
                <w:rFonts w:eastAsia="Times New Roman"/>
                <w:color w:val="000000"/>
                <w:kern w:val="0"/>
                <w:sz w:val="22"/>
                <w:szCs w:val="22"/>
                <w14:ligatures w14:val="none"/>
              </w:rPr>
            </w:pPr>
            <w:r w:rsidRPr="004F0E58">
              <w:rPr>
                <w:rFonts w:eastAsia="Times New Roman"/>
                <w:color w:val="000000"/>
                <w:kern w:val="0"/>
                <w:sz w:val="22"/>
                <w:szCs w:val="22"/>
                <w14:ligatures w14:val="none"/>
              </w:rPr>
              <w:t>That the Program develop more experiential learning opportunities for students.</w:t>
            </w:r>
          </w:p>
          <w:p w14:paraId="0F9E57A9" w14:textId="77777777" w:rsidR="004F0E58" w:rsidRPr="004F0E58" w:rsidRDefault="004F0E58" w:rsidP="004F0E58">
            <w:pPr>
              <w:widowControl w:val="0"/>
              <w:autoSpaceDE w:val="0"/>
              <w:autoSpaceDN w:val="0"/>
              <w:adjustRightInd w:val="0"/>
              <w:rPr>
                <w:rFonts w:eastAsia="Times New Roman"/>
                <w:b/>
                <w:bCs/>
                <w:color w:val="000000"/>
                <w:kern w:val="0"/>
                <w:sz w:val="22"/>
                <w:szCs w:val="22"/>
                <w:lang w:val="en-US"/>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4895A817" w14:textId="77777777" w:rsidR="004F0E58" w:rsidRPr="004F0E58" w:rsidRDefault="004F0E58" w:rsidP="004F0E58">
            <w:pPr>
              <w:widowControl w:val="0"/>
              <w:rPr>
                <w:rFonts w:eastAsia="Calibri"/>
                <w:kern w:val="0"/>
                <w:sz w:val="22"/>
                <w:szCs w:val="22"/>
                <w14:ligatures w14:val="none"/>
              </w:rPr>
            </w:pPr>
            <w:r w:rsidRPr="004F0E58">
              <w:rPr>
                <w:rFonts w:eastAsia="Calibri"/>
                <w:kern w:val="0"/>
                <w:sz w:val="22"/>
                <w:szCs w:val="22"/>
                <w14:ligatures w14:val="none"/>
              </w:rPr>
              <w:t>The Department explore ways to increase hands-on experiences for their students in collaboration with Careerspace and discussing budget/resource implications with their deans.</w:t>
            </w:r>
          </w:p>
          <w:p w14:paraId="305E4EF3" w14:textId="77777777" w:rsidR="004F0E58" w:rsidRPr="004F0E58" w:rsidRDefault="004F0E58" w:rsidP="004F0E58">
            <w:pPr>
              <w:widowControl w:val="0"/>
              <w:rPr>
                <w:rFonts w:eastAsia="Times New Roman"/>
                <w:b/>
                <w:kern w:val="0"/>
                <w:sz w:val="22"/>
                <w:szCs w:val="22"/>
                <w:lang w:val="en-US"/>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2D079CE4" w14:textId="77777777" w:rsidR="004F0E58" w:rsidRPr="004F0E58" w:rsidRDefault="004F0E58" w:rsidP="004F0E58">
            <w:pPr>
              <w:widowControl w:val="0"/>
              <w:rPr>
                <w:rFonts w:eastAsia="Times New Roman"/>
                <w:b/>
                <w:iCs/>
                <w:kern w:val="0"/>
                <w:sz w:val="22"/>
                <w:szCs w:val="22"/>
                <w:lang w:val="en-US"/>
                <w14:ligatures w14:val="none"/>
              </w:rPr>
            </w:pPr>
            <w:r w:rsidRPr="004F0E58">
              <w:rPr>
                <w:rFonts w:eastAsia="Calibri"/>
                <w:kern w:val="0"/>
                <w:sz w:val="22"/>
                <w:szCs w:val="22"/>
                <w14:ligatures w14:val="none"/>
              </w:rPr>
              <w:t xml:space="preserve">April 2026 </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181A9DCA" w14:textId="77777777" w:rsidR="004F0E58" w:rsidRPr="004F0E58" w:rsidRDefault="004F0E58" w:rsidP="004F0E58">
            <w:pPr>
              <w:widowControl w:val="0"/>
              <w:rPr>
                <w:rFonts w:eastAsia="Times New Roman"/>
                <w:b/>
                <w:kern w:val="0"/>
                <w:sz w:val="22"/>
                <w:szCs w:val="22"/>
                <w:lang w:val="en-US"/>
                <w14:ligatures w14:val="none"/>
              </w:rPr>
            </w:pPr>
            <w:r w:rsidRPr="004F0E58">
              <w:rPr>
                <w:rFonts w:eastAsia="Calibri"/>
                <w:kern w:val="0"/>
                <w:sz w:val="22"/>
                <w:szCs w:val="22"/>
                <w14:ligatures w14:val="none"/>
              </w:rPr>
              <w:t>Chair with Deans, Peterborough and Durham GTA, and Careerspace.</w:t>
            </w:r>
          </w:p>
        </w:tc>
      </w:tr>
    </w:tbl>
    <w:p w14:paraId="7517B3AF" w14:textId="77777777" w:rsidR="009F6043" w:rsidRDefault="009F6043"/>
    <w:sectPr w:rsidR="009F6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5359"/>
    <w:multiLevelType w:val="hybridMultilevel"/>
    <w:tmpl w:val="805CA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750A82"/>
    <w:multiLevelType w:val="hybridMultilevel"/>
    <w:tmpl w:val="942AB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1252580">
    <w:abstractNumId w:val="1"/>
  </w:num>
  <w:num w:numId="2" w16cid:durableId="170212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58"/>
    <w:rsid w:val="004F0E58"/>
    <w:rsid w:val="00552C19"/>
    <w:rsid w:val="00953F6F"/>
    <w:rsid w:val="009F6043"/>
    <w:rsid w:val="00F433E7"/>
    <w:rsid w:val="00F43A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3086"/>
  <w15:chartTrackingRefBased/>
  <w15:docId w15:val="{05E6F68F-D9D1-4377-8179-E256718A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E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E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0E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0E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0E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0E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0E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E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E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0E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0E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0E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0E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0E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0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E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E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0E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0E58"/>
    <w:rPr>
      <w:i/>
      <w:iCs/>
      <w:color w:val="404040" w:themeColor="text1" w:themeTint="BF"/>
    </w:rPr>
  </w:style>
  <w:style w:type="paragraph" w:styleId="ListParagraph">
    <w:name w:val="List Paragraph"/>
    <w:basedOn w:val="Normal"/>
    <w:uiPriority w:val="34"/>
    <w:qFormat/>
    <w:rsid w:val="004F0E58"/>
    <w:pPr>
      <w:ind w:left="720"/>
      <w:contextualSpacing/>
    </w:pPr>
  </w:style>
  <w:style w:type="character" w:styleId="IntenseEmphasis">
    <w:name w:val="Intense Emphasis"/>
    <w:basedOn w:val="DefaultParagraphFont"/>
    <w:uiPriority w:val="21"/>
    <w:qFormat/>
    <w:rsid w:val="004F0E58"/>
    <w:rPr>
      <w:i/>
      <w:iCs/>
      <w:color w:val="0F4761" w:themeColor="accent1" w:themeShade="BF"/>
    </w:rPr>
  </w:style>
  <w:style w:type="paragraph" w:styleId="IntenseQuote">
    <w:name w:val="Intense Quote"/>
    <w:basedOn w:val="Normal"/>
    <w:next w:val="Normal"/>
    <w:link w:val="IntenseQuoteChar"/>
    <w:uiPriority w:val="30"/>
    <w:qFormat/>
    <w:rsid w:val="004F0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E58"/>
    <w:rPr>
      <w:i/>
      <w:iCs/>
      <w:color w:val="0F4761" w:themeColor="accent1" w:themeShade="BF"/>
    </w:rPr>
  </w:style>
  <w:style w:type="character" w:styleId="IntenseReference">
    <w:name w:val="Intense Reference"/>
    <w:basedOn w:val="DefaultParagraphFont"/>
    <w:uiPriority w:val="32"/>
    <w:qFormat/>
    <w:rsid w:val="004F0E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2228</Words>
  <Characters>13818</Characters>
  <Application>Microsoft Office Word</Application>
  <DocSecurity>0</DocSecurity>
  <Lines>460</Lines>
  <Paragraphs>162</Paragraphs>
  <ScaleCrop>false</ScaleCrop>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1</cp:revision>
  <dcterms:created xsi:type="dcterms:W3CDTF">2026-02-26T18:18:00Z</dcterms:created>
  <dcterms:modified xsi:type="dcterms:W3CDTF">2026-02-26T18:19:00Z</dcterms:modified>
</cp:coreProperties>
</file>