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CD" w:rsidRDefault="00367FCD">
      <w:pPr>
        <w:spacing w:after="0"/>
        <w:ind w:left="-720" w:right="15"/>
      </w:pPr>
    </w:p>
    <w:tbl>
      <w:tblPr>
        <w:tblStyle w:val="TableGrid"/>
        <w:tblW w:w="14261" w:type="dxa"/>
        <w:tblInd w:w="70" w:type="dxa"/>
        <w:tblCellMar>
          <w:top w:w="0" w:type="dxa"/>
          <w:left w:w="7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70"/>
        <w:gridCol w:w="1474"/>
        <w:gridCol w:w="2892"/>
        <w:gridCol w:w="1775"/>
        <w:gridCol w:w="4513"/>
        <w:gridCol w:w="3516"/>
        <w:gridCol w:w="361"/>
      </w:tblGrid>
      <w:tr w:rsidR="00367FCD">
        <w:trPr>
          <w:gridBefore w:val="1"/>
          <w:gridAfter w:val="1"/>
          <w:wBefore w:w="79" w:type="dxa"/>
          <w:wAfter w:w="361" w:type="dxa"/>
          <w:trHeight w:val="78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67FCD" w:rsidRDefault="001437F5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367FCD" w:rsidRDefault="001437F5">
            <w:pPr>
              <w:spacing w:after="0"/>
              <w:ind w:left="46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Class of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367FCD" w:rsidRDefault="001437F5">
            <w:pPr>
              <w:spacing w:after="0"/>
              <w:ind w:left="161"/>
            </w:pPr>
            <w:r>
              <w:rPr>
                <w:rFonts w:ascii="Cambria" w:eastAsia="Cambria" w:hAnsi="Cambria" w:cs="Cambria"/>
                <w:b/>
                <w:sz w:val="24"/>
              </w:rPr>
              <w:t>Chemicals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/>
              <w:ind w:left="143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367FCD" w:rsidRDefault="001437F5">
            <w:pPr>
              <w:spacing w:after="0"/>
              <w:ind w:left="454" w:right="29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Recommended Storage Method and Additional Concerns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14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367FCD" w:rsidRDefault="001437F5">
            <w:pPr>
              <w:spacing w:after="0"/>
              <w:ind w:left="919"/>
            </w:pPr>
            <w:r>
              <w:rPr>
                <w:rFonts w:ascii="Cambria" w:eastAsia="Cambria" w:hAnsi="Cambria" w:cs="Cambria"/>
                <w:b/>
                <w:sz w:val="24"/>
              </w:rPr>
              <w:t>Common Chemical Examples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:rsidR="00367FCD" w:rsidRDefault="001437F5">
            <w:pPr>
              <w:spacing w:after="0"/>
              <w:ind w:left="147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367FCD" w:rsidRDefault="001437F5">
            <w:pPr>
              <w:spacing w:after="0"/>
              <w:ind w:left="169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Common Incompatibles. </w:t>
            </w:r>
          </w:p>
          <w:p w:rsidR="00367FCD" w:rsidRDefault="001437F5">
            <w:pPr>
              <w:spacing w:after="0"/>
              <w:ind w:left="209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(Always Consult MSDS)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1289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Flammable </w:t>
            </w:r>
          </w:p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Liquids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18"/>
              <w:ind w:left="182"/>
            </w:pPr>
            <w:r>
              <w:rPr>
                <w:sz w:val="20"/>
              </w:rPr>
              <w:t xml:space="preserve">An approved flammable storage cabinet </w:t>
            </w:r>
          </w:p>
          <w:p w:rsidR="00367FCD" w:rsidRDefault="001437F5">
            <w:pPr>
              <w:spacing w:after="0" w:line="277" w:lineRule="auto"/>
              <w:ind w:left="182"/>
            </w:pPr>
            <w:r>
              <w:rPr>
                <w:sz w:val="20"/>
              </w:rPr>
              <w:t xml:space="preserve">*Remember: peroxide-forming chemicals must be dated upon delivery and opening (consult Peroxide </w:t>
            </w:r>
          </w:p>
          <w:p w:rsidR="00367FCD" w:rsidRDefault="001437F5">
            <w:pPr>
              <w:spacing w:after="0"/>
              <w:ind w:left="182"/>
            </w:pPr>
            <w:r>
              <w:rPr>
                <w:sz w:val="20"/>
              </w:rPr>
              <w:t xml:space="preserve">Forming-Chemical storage)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 w:line="277" w:lineRule="auto"/>
              <w:ind w:left="2"/>
            </w:pPr>
            <w:r>
              <w:rPr>
                <w:sz w:val="20"/>
              </w:rPr>
              <w:t xml:space="preserve">Ethanol, Methanol, Acetone, Xylene, Toluene, and peroxide formers like *Diethyl Ether and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*Tetrahydrofuran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 xml:space="preserve">Oxidizers, </w:t>
            </w:r>
            <w:proofErr w:type="spellStart"/>
            <w:r>
              <w:rPr>
                <w:sz w:val="20"/>
              </w:rPr>
              <w:t>reactives</w:t>
            </w:r>
            <w:proofErr w:type="spellEnd"/>
            <w:r>
              <w:rPr>
                <w:sz w:val="20"/>
              </w:rPr>
              <w:t>, a</w:t>
            </w:r>
            <w:r>
              <w:rPr>
                <w:sz w:val="20"/>
              </w:rPr>
              <w:t xml:space="preserve">cids, bases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1064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Toxics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0"/>
              <w:ind w:left="182"/>
              <w:jc w:val="both"/>
            </w:pPr>
            <w:r>
              <w:rPr>
                <w:sz w:val="20"/>
              </w:rPr>
              <w:t xml:space="preserve">In a ventilated, dry, cool area in a chemically resistant secondary container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18"/>
              <w:ind w:left="74"/>
            </w:pPr>
            <w:r>
              <w:rPr>
                <w:sz w:val="20"/>
              </w:rPr>
              <w:t xml:space="preserve">Chloroform, Cyanides, Heavy Metal Compounds (e.g. </w:t>
            </w:r>
          </w:p>
          <w:p w:rsidR="00367FCD" w:rsidRDefault="001437F5">
            <w:pPr>
              <w:spacing w:after="0"/>
              <w:ind w:left="74"/>
            </w:pPr>
            <w:r>
              <w:rPr>
                <w:sz w:val="20"/>
              </w:rPr>
              <w:t xml:space="preserve">Cadmium, Mercury)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>Flammable liquids, acids, bases, reactive, oxidizers please consult Risk Management</w:t>
            </w:r>
            <w:r>
              <w:rPr>
                <w:sz w:val="20"/>
              </w:rPr>
              <w:t xml:space="preserve"> for assistance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153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Corrosive </w:t>
            </w:r>
          </w:p>
          <w:p w:rsidR="00367FCD" w:rsidRDefault="001437F5">
            <w:pPr>
              <w:spacing w:after="0"/>
              <w:ind w:right="83"/>
            </w:pPr>
            <w:r>
              <w:rPr>
                <w:sz w:val="20"/>
              </w:rPr>
              <w:t xml:space="preserve">Acids- Inorganic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0" w:line="277" w:lineRule="auto"/>
              <w:ind w:left="2"/>
            </w:pPr>
            <w:r>
              <w:rPr>
                <w:sz w:val="20"/>
              </w:rPr>
              <w:t xml:space="preserve">Store in corrosives cabinet (marked ACID), or on protected shelving and in secondary containment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*Do NOT store acids on metal shelving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 w:line="277" w:lineRule="auto"/>
              <w:ind w:left="2" w:right="452"/>
            </w:pPr>
            <w:r>
              <w:rPr>
                <w:sz w:val="20"/>
              </w:rPr>
              <w:t xml:space="preserve">Hydrochloric Acid, Sulfuric Acid, Phosphoric acid, Chromic Acid, </w:t>
            </w:r>
            <w:r>
              <w:rPr>
                <w:b/>
                <w:sz w:val="20"/>
              </w:rPr>
              <w:t>Nitric Acid*</w:t>
            </w:r>
            <w:r>
              <w:rPr>
                <w:sz w:val="20"/>
              </w:rPr>
              <w:t xml:space="preserve"> </w:t>
            </w:r>
          </w:p>
          <w:p w:rsidR="00367FCD" w:rsidRDefault="001437F5">
            <w:pPr>
              <w:spacing w:after="0"/>
              <w:ind w:left="2" w:right="407"/>
            </w:pPr>
            <w:r>
              <w:rPr>
                <w:color w:val="FF0000"/>
                <w:sz w:val="20"/>
              </w:rPr>
              <w:t xml:space="preserve">*Nitric acid is a strong oxidizing agent and should be stored by itself with secondary containment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>Flammable liquids, flammable solids, bases and oxidizers, organic acids, cyan</w:t>
            </w:r>
            <w:r>
              <w:rPr>
                <w:sz w:val="20"/>
              </w:rPr>
              <w:t xml:space="preserve">ides, sulfides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90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Corrosive </w:t>
            </w:r>
          </w:p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Acids- Organic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 w:line="277" w:lineRule="auto"/>
              <w:ind w:left="2"/>
            </w:pPr>
            <w:r>
              <w:rPr>
                <w:sz w:val="20"/>
              </w:rPr>
              <w:t xml:space="preserve">Store in corrosives cabinet, on protected shelving, secondary containment away from inorganic acids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*Do NOT store acids on metal shelving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Acetic Acid, </w:t>
            </w:r>
            <w:proofErr w:type="spellStart"/>
            <w:r>
              <w:rPr>
                <w:sz w:val="20"/>
              </w:rPr>
              <w:t>Trichloroacetic</w:t>
            </w:r>
            <w:proofErr w:type="spellEnd"/>
            <w:r>
              <w:rPr>
                <w:sz w:val="20"/>
              </w:rPr>
              <w:t xml:space="preserve"> Acid, Formic Acid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:rsidR="00367FCD" w:rsidRDefault="001437F5">
            <w:pPr>
              <w:spacing w:after="0"/>
              <w:ind w:left="4" w:right="422"/>
            </w:pPr>
            <w:r>
              <w:rPr>
                <w:sz w:val="20"/>
              </w:rPr>
              <w:t xml:space="preserve">Flammable liquids, flammable solids, bases and oxidizers, inorganic acids, cyanides, sulfides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107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Corrosive- </w:t>
            </w:r>
          </w:p>
          <w:p w:rsidR="00367FCD" w:rsidRDefault="001437F5">
            <w:pPr>
              <w:spacing w:after="0"/>
              <w:ind w:right="44"/>
            </w:pPr>
            <w:r>
              <w:rPr>
                <w:sz w:val="20"/>
              </w:rPr>
              <w:t xml:space="preserve">Bases- Inorganic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Store in corrosives cabinet, or on protected shelving away from acids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18"/>
              <w:ind w:left="2"/>
            </w:pPr>
            <w:r>
              <w:rPr>
                <w:sz w:val="20"/>
              </w:rPr>
              <w:t xml:space="preserve">Ammonium Hydroxide, Potassium Hydroxide,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Sodium Hydroxide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 xml:space="preserve">Flammable liquids, acids, oxidizers, organic bases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54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Corrosive </w:t>
            </w:r>
          </w:p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Bases-Organic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Store in corrosive cabinet, and separated from acids and inorganic bases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:rsidR="00367FCD" w:rsidRDefault="001437F5">
            <w:pPr>
              <w:spacing w:after="18"/>
              <w:ind w:left="2"/>
            </w:pPr>
            <w:r>
              <w:rPr>
                <w:sz w:val="20"/>
              </w:rPr>
              <w:t xml:space="preserve">Hydroxylamine, </w:t>
            </w:r>
            <w:proofErr w:type="spellStart"/>
            <w:r>
              <w:rPr>
                <w:sz w:val="20"/>
              </w:rPr>
              <w:t>Tetramethylethylamine</w:t>
            </w:r>
            <w:proofErr w:type="spellEnd"/>
            <w:r>
              <w:rPr>
                <w:sz w:val="20"/>
              </w:rPr>
              <w:t xml:space="preserve">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Diamine, </w:t>
            </w:r>
            <w:proofErr w:type="spellStart"/>
            <w:r>
              <w:rPr>
                <w:sz w:val="20"/>
              </w:rPr>
              <w:t>Triethylamine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 xml:space="preserve">Acids, oxidizers, </w:t>
            </w:r>
            <w:proofErr w:type="spellStart"/>
            <w:r>
              <w:rPr>
                <w:sz w:val="20"/>
              </w:rPr>
              <w:t>hypochlorites</w:t>
            </w:r>
            <w:proofErr w:type="spellEnd"/>
            <w:r>
              <w:rPr>
                <w:sz w:val="20"/>
              </w:rPr>
              <w:t xml:space="preserve">, inorganic bases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62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67FCD" w:rsidRDefault="001437F5">
            <w:pPr>
              <w:spacing w:after="18"/>
            </w:pPr>
            <w:r>
              <w:rPr>
                <w:sz w:val="20"/>
              </w:rPr>
              <w:t xml:space="preserve">Flammable </w:t>
            </w:r>
          </w:p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Solids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Cool dry area away from oxidizers and corrosives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Carbon, Charcoal, Paraformaldehyde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 xml:space="preserve">Acids, bases, oxidizers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551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Oxidizers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/>
              <w:ind w:left="2" w:right="113"/>
            </w:pPr>
            <w:r>
              <w:rPr>
                <w:sz w:val="20"/>
              </w:rPr>
              <w:t xml:space="preserve">Store in secondary containment with non- combustibles or inorganic material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Perchlorates, Permanganates, Nitrates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:rsidR="00367FCD" w:rsidRDefault="001437F5">
            <w:pPr>
              <w:spacing w:after="0"/>
              <w:ind w:left="4"/>
            </w:pPr>
            <w:r>
              <w:rPr>
                <w:sz w:val="20"/>
              </w:rPr>
              <w:t xml:space="preserve">Flammables, combustibles and organic materials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84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0"/>
            </w:pPr>
            <w:r>
              <w:rPr>
                <w:sz w:val="20"/>
              </w:rPr>
              <w:t xml:space="preserve">Water Reactive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/>
              <w:ind w:left="2" w:right="311"/>
            </w:pPr>
            <w:r>
              <w:rPr>
                <w:sz w:val="20"/>
              </w:rPr>
              <w:t xml:space="preserve">Store in a cool dry location. Protect from fire sprinkler system and sources of water. Label area for water-reactive storage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18"/>
              <w:ind w:left="2"/>
            </w:pPr>
            <w:r>
              <w:rPr>
                <w:sz w:val="20"/>
              </w:rPr>
              <w:t xml:space="preserve">Sodium, Lithium, and Potassium Metals, Sodium </w:t>
            </w:r>
          </w:p>
          <w:p w:rsidR="00367FCD" w:rsidRDefault="001437F5">
            <w:pPr>
              <w:spacing w:after="0"/>
              <w:ind w:left="2"/>
            </w:pPr>
            <w:r>
              <w:rPr>
                <w:sz w:val="20"/>
              </w:rPr>
              <w:t xml:space="preserve">Borohydride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:rsidR="00367FCD" w:rsidRDefault="001437F5">
            <w:pPr>
              <w:spacing w:after="18"/>
              <w:ind w:left="4"/>
            </w:pPr>
            <w:r>
              <w:rPr>
                <w:sz w:val="20"/>
              </w:rPr>
              <w:t xml:space="preserve">Aqueous solutions, oxidizers, </w:t>
            </w:r>
          </w:p>
          <w:p w:rsidR="00367FCD" w:rsidRDefault="001437F5">
            <w:pPr>
              <w:spacing w:after="18"/>
              <w:ind w:left="4"/>
            </w:pPr>
            <w:proofErr w:type="gramStart"/>
            <w:r>
              <w:rPr>
                <w:sz w:val="20"/>
              </w:rPr>
              <w:t>water</w:t>
            </w:r>
            <w:proofErr w:type="gramEnd"/>
            <w:r>
              <w:rPr>
                <w:sz w:val="20"/>
              </w:rPr>
              <w:t xml:space="preserve"> sources. Please consult Risk Management</w:t>
            </w:r>
            <w:r>
              <w:rPr>
                <w:sz w:val="20"/>
              </w:rPr>
              <w:t xml:space="preserve">, and </w:t>
            </w:r>
          </w:p>
          <w:p w:rsidR="00367FCD" w:rsidRDefault="001437F5">
            <w:pPr>
              <w:spacing w:after="0"/>
              <w:ind w:left="4"/>
            </w:pPr>
            <w:bookmarkStart w:id="0" w:name="_GoBack"/>
            <w:bookmarkEnd w:id="0"/>
            <w:r>
              <w:rPr>
                <w:sz w:val="20"/>
              </w:rPr>
              <w:t xml:space="preserve">SDS for specific information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757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67FCD" w:rsidRDefault="001437F5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 xml:space="preserve">Explosives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Store in a secure location away from other chemicals, store in areas away </w:t>
            </w:r>
            <w:r>
              <w:rPr>
                <w:rFonts w:ascii="Cambria" w:eastAsia="Cambria" w:hAnsi="Cambria" w:cs="Cambria"/>
                <w:sz w:val="20"/>
              </w:rPr>
              <w:t xml:space="preserve">from shock or friction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Trinitrophenol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Diazoisobutylnitrile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4"/>
            </w:pPr>
            <w:r>
              <w:rPr>
                <w:rFonts w:ascii="Cambria" w:eastAsia="Cambria" w:hAnsi="Cambria" w:cs="Cambria"/>
                <w:sz w:val="20"/>
              </w:rPr>
              <w:t>Consult the SDS and Risk Management</w:t>
            </w:r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</w:tc>
      </w:tr>
      <w:tr w:rsidR="00367FCD">
        <w:trPr>
          <w:gridBefore w:val="1"/>
          <w:gridAfter w:val="1"/>
          <w:wBefore w:w="79" w:type="dxa"/>
          <w:wAfter w:w="361" w:type="dxa"/>
          <w:trHeight w:val="576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67FCD" w:rsidRDefault="001437F5">
            <w:pPr>
              <w:spacing w:after="17"/>
            </w:pPr>
            <w:r>
              <w:rPr>
                <w:rFonts w:ascii="Cambria" w:eastAsia="Cambria" w:hAnsi="Cambria" w:cs="Cambria"/>
                <w:sz w:val="20"/>
              </w:rPr>
              <w:t xml:space="preserve">General Stock </w:t>
            </w:r>
          </w:p>
          <w:p w:rsidR="00367FCD" w:rsidRDefault="001437F5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 xml:space="preserve">Chemicals </w:t>
            </w:r>
          </w:p>
        </w:tc>
        <w:tc>
          <w:tcPr>
            <w:tcW w:w="4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367FCD" w:rsidRDefault="001437F5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Storage on laboratory benches, or shelves with like chemicals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vAlign w:val="center"/>
          </w:tcPr>
          <w:p w:rsidR="00367FCD" w:rsidRDefault="001437F5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Sodium bicarbonate, Agar, Salt buffer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  <w:vAlign w:val="center"/>
          </w:tcPr>
          <w:p w:rsidR="00367FCD" w:rsidRDefault="001437F5">
            <w:pPr>
              <w:spacing w:after="0"/>
              <w:ind w:left="299"/>
            </w:pPr>
            <w:r>
              <w:rPr>
                <w:rFonts w:ascii="Cambria" w:eastAsia="Cambria" w:hAnsi="Cambria" w:cs="Cambria"/>
                <w:sz w:val="20"/>
              </w:rPr>
              <w:t xml:space="preserve">See chemical-specific </w:t>
            </w:r>
            <w:r>
              <w:rPr>
                <w:rFonts w:ascii="Cambria" w:eastAsia="Cambria" w:hAnsi="Cambria" w:cs="Cambria"/>
                <w:sz w:val="20"/>
              </w:rPr>
              <w:t xml:space="preserve">SDS </w:t>
            </w:r>
          </w:p>
        </w:tc>
      </w:tr>
      <w:tr w:rsidR="00367FCD">
        <w:tblPrEx>
          <w:tblCellMar>
            <w:left w:w="0" w:type="dxa"/>
            <w:right w:w="0" w:type="dxa"/>
          </w:tblCellMar>
        </w:tblPrEx>
        <w:trPr>
          <w:trHeight w:val="9372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FCD" w:rsidRDefault="00367FCD">
            <w:pPr>
              <w:spacing w:after="0"/>
              <w:ind w:left="-721" w:right="109"/>
            </w:pPr>
          </w:p>
          <w:tbl>
            <w:tblPr>
              <w:tblStyle w:val="TableGrid"/>
              <w:tblW w:w="4426" w:type="dxa"/>
              <w:tblInd w:w="0" w:type="dxa"/>
              <w:tblCellMar>
                <w:top w:w="52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3149"/>
            </w:tblGrid>
            <w:tr w:rsidR="00367FCD">
              <w:trPr>
                <w:trHeight w:val="720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C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A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C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Combatable Organic bases </w:t>
                  </w:r>
                </w:p>
              </w:tc>
            </w:tr>
            <w:tr w:rsidR="00367FCD">
              <w:trPr>
                <w:trHeight w:val="720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B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Combatable Pyrophoric &amp; water reactive </w:t>
                  </w:r>
                </w:p>
              </w:tc>
            </w:tr>
            <w:tr w:rsidR="00367FCD">
              <w:trPr>
                <w:trHeight w:val="722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C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Combatable Inorganic Bases </w:t>
                  </w:r>
                </w:p>
              </w:tc>
            </w:tr>
            <w:tr w:rsidR="00367FCD">
              <w:trPr>
                <w:trHeight w:val="811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33634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D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33634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Combatable organic Acids  </w:t>
                  </w:r>
                </w:p>
              </w:tc>
            </w:tr>
            <w:tr w:rsidR="00367FCD">
              <w:trPr>
                <w:trHeight w:val="710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E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Combatable Oxidizers including Peroxides </w:t>
                  </w:r>
                </w:p>
              </w:tc>
            </w:tr>
            <w:tr w:rsidR="00367FCD">
              <w:trPr>
                <w:trHeight w:val="890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F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Combatable Inorganic acids not including Oxidizers or Combustibles  </w:t>
                  </w:r>
                </w:p>
              </w:tc>
            </w:tr>
            <w:tr w:rsidR="00367FCD">
              <w:trPr>
                <w:trHeight w:val="594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923B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G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923B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Not Intrinsically Reactive or Flammable or Combustible </w:t>
                  </w:r>
                </w:p>
              </w:tc>
            </w:tr>
            <w:tr w:rsidR="00367FCD">
              <w:trPr>
                <w:trHeight w:val="560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J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FCD" w:rsidRDefault="001437F5">
                  <w:pPr>
                    <w:spacing w:after="0"/>
                  </w:pPr>
                  <w:r>
                    <w:rPr>
                      <w:sz w:val="24"/>
                    </w:rPr>
                    <w:t xml:space="preserve">Poison Compressed Gas </w:t>
                  </w:r>
                </w:p>
              </w:tc>
            </w:tr>
            <w:tr w:rsidR="00367FCD">
              <w:trPr>
                <w:trHeight w:val="889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K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Compatible Explosives or other Highly Unstable material </w:t>
                  </w:r>
                </w:p>
              </w:tc>
            </w:tr>
            <w:tr w:rsidR="00367FCD">
              <w:trPr>
                <w:trHeight w:val="889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0849B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L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0849B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>Non-</w:t>
                  </w:r>
                  <w:r>
                    <w:rPr>
                      <w:b/>
                      <w:color w:val="FFFFFF"/>
                      <w:sz w:val="24"/>
                    </w:rPr>
                    <w:t xml:space="preserve">reactive Flammables and Combustibles including Solvents </w:t>
                  </w:r>
                </w:p>
              </w:tc>
            </w:tr>
            <w:tr w:rsidR="00367FCD">
              <w:trPr>
                <w:trHeight w:val="594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74706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X </w:t>
                  </w:r>
                </w:p>
              </w:tc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74706"/>
                </w:tcPr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FFFF"/>
                      <w:sz w:val="24"/>
                    </w:rPr>
                    <w:t xml:space="preserve">Incompatible with all other Storage Groups </w:t>
                  </w:r>
                </w:p>
              </w:tc>
            </w:tr>
            <w:tr w:rsidR="00367FCD">
              <w:trPr>
                <w:trHeight w:val="1271"/>
              </w:trPr>
              <w:tc>
                <w:tcPr>
                  <w:tcW w:w="44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7FCD" w:rsidRDefault="001437F5">
                  <w:pPr>
                    <w:spacing w:after="0" w:line="240" w:lineRule="auto"/>
                  </w:pPr>
                  <w:r>
                    <w:rPr>
                      <w:b/>
                      <w:color w:val="FF0000"/>
                      <w:sz w:val="24"/>
                    </w:rPr>
                    <w:t xml:space="preserve">Storage Groups J, K and X needs consultation with OH&amp;S </w:t>
                  </w:r>
                </w:p>
                <w:p w:rsidR="00367FCD" w:rsidRDefault="001437F5">
                  <w:pPr>
                    <w:spacing w:after="0"/>
                  </w:pPr>
                  <w:r>
                    <w:rPr>
                      <w:b/>
                      <w:color w:val="FF0000"/>
                      <w:sz w:val="24"/>
                    </w:rPr>
                    <w:t>Consult SDS for specific storage requirements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367FCD" w:rsidRDefault="00367FCD"/>
        </w:tc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FCD" w:rsidRDefault="001437F5">
            <w:pPr>
              <w:spacing w:after="0"/>
              <w:ind w:left="1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85760" cy="5451635"/>
                      <wp:effectExtent l="0" t="0" r="0" b="0"/>
                      <wp:docPr id="6182" name="Group 6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5760" cy="5451635"/>
                                <a:chOff x="0" y="0"/>
                                <a:chExt cx="6385760" cy="5451635"/>
                              </a:xfrm>
                            </wpg:grpSpPr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6354073" y="5308826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67FCD" w:rsidRDefault="001437F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1" name="Picture 76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1" y="4761"/>
                                  <a:ext cx="6319520" cy="5377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0" y="0"/>
                                  <a:ext cx="6329045" cy="538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9045" h="5386705">
                                      <a:moveTo>
                                        <a:pt x="0" y="5386705"/>
                                      </a:moveTo>
                                      <a:lnTo>
                                        <a:pt x="6329045" y="5386705"/>
                                      </a:lnTo>
                                      <a:lnTo>
                                        <a:pt x="6329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8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82" style="width:502.816pt;height:429.263pt;mso-position-horizontal-relative:char;mso-position-vertical-relative:line" coordsize="63857,54516">
                      <v:rect id="Rectangle 755" style="position:absolute;width:421;height:1899;left:63540;top:530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61" style="position:absolute;width:63195;height:53771;left:47;top:47;" filled="f">
                        <v:imagedata r:id="rId5"/>
                      </v:shape>
                      <v:shape id="Shape 762" style="position:absolute;width:63290;height:53867;left:0;top:0;" coordsize="6329045,5386705" path="m0,5386705l6329045,5386705l6329045,0l0,0x">
                        <v:stroke weight="0.75pt" endcap="flat" joinstyle="round" on="true" color="#008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367FCD" w:rsidRDefault="001437F5">
      <w:pPr>
        <w:spacing w:after="175" w:line="277" w:lineRule="auto"/>
      </w:pPr>
      <w:r>
        <w:rPr>
          <w:sz w:val="28"/>
        </w:rPr>
        <w:lastRenderedPageBreak/>
        <w:t xml:space="preserve">If space does not allow storage groups to </w:t>
      </w:r>
      <w:proofErr w:type="gramStart"/>
      <w:r>
        <w:rPr>
          <w:sz w:val="28"/>
        </w:rPr>
        <w:t>be kept</w:t>
      </w:r>
      <w:proofErr w:type="gramEnd"/>
      <w:r>
        <w:rPr>
          <w:sz w:val="28"/>
        </w:rPr>
        <w:t xml:space="preserve"> in separate cabinets, the above scheme can be used with extra care taken to provide uncrowded and carefully monitored conditions.  </w:t>
      </w:r>
    </w:p>
    <w:p w:rsidR="00367FCD" w:rsidRDefault="001437F5">
      <w:pPr>
        <w:spacing w:after="0"/>
      </w:pPr>
      <w:r>
        <w:rPr>
          <w:sz w:val="26"/>
        </w:rPr>
        <w:t>Prudent Practices in the Laboratory: Handling and Management of Chemical H</w:t>
      </w:r>
      <w:r>
        <w:rPr>
          <w:sz w:val="26"/>
        </w:rPr>
        <w:t>azards: Updated Version</w:t>
      </w:r>
      <w:r>
        <w:t xml:space="preserve"> </w:t>
      </w:r>
    </w:p>
    <w:sectPr w:rsidR="00367FCD">
      <w:pgSz w:w="15840" w:h="12240" w:orient="landscape"/>
      <w:pgMar w:top="595" w:right="774" w:bottom="9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CD"/>
    <w:rsid w:val="001437F5"/>
    <w:rsid w:val="003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4EE1"/>
  <w15:docId w15:val="{24602922-FB89-48B9-93C8-E79D6D2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Kochurani Jacob</dc:creator>
  <cp:keywords/>
  <cp:lastModifiedBy>Chris Williams</cp:lastModifiedBy>
  <cp:revision>2</cp:revision>
  <dcterms:created xsi:type="dcterms:W3CDTF">2019-05-09T15:33:00Z</dcterms:created>
  <dcterms:modified xsi:type="dcterms:W3CDTF">2019-05-09T15:33:00Z</dcterms:modified>
</cp:coreProperties>
</file>