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1D" w:rsidRDefault="0065182C" w:rsidP="0065182C">
      <w:pPr>
        <w:jc w:val="center"/>
        <w:rPr>
          <w:rFonts w:ascii="Arial" w:hAnsi="Arial" w:cs="Arial"/>
          <w:sz w:val="48"/>
          <w:szCs w:val="48"/>
        </w:rPr>
      </w:pPr>
      <w:r w:rsidRPr="002139AC">
        <w:rPr>
          <w:rFonts w:ascii="Arial" w:hAnsi="Arial" w:cs="Arial"/>
          <w:sz w:val="48"/>
          <w:szCs w:val="48"/>
        </w:rPr>
        <w:t>Trent University</w:t>
      </w:r>
    </w:p>
    <w:p w:rsidR="0065182C" w:rsidRDefault="0065182C" w:rsidP="0065182C">
      <w:pPr>
        <w:jc w:val="center"/>
        <w:rPr>
          <w:rFonts w:ascii="Arial" w:hAnsi="Arial" w:cs="Arial"/>
          <w:sz w:val="48"/>
          <w:szCs w:val="48"/>
        </w:rPr>
      </w:pPr>
      <w:r w:rsidRPr="002139AC">
        <w:rPr>
          <w:rFonts w:ascii="Arial" w:hAnsi="Arial" w:cs="Arial"/>
          <w:sz w:val="48"/>
          <w:szCs w:val="48"/>
        </w:rPr>
        <w:t>Standard Operating Procedures</w:t>
      </w:r>
    </w:p>
    <w:p w:rsidR="0065182C" w:rsidRDefault="00CB28C9" w:rsidP="0065182C">
      <w:pPr>
        <w:jc w:val="center"/>
        <w:rPr>
          <w:rFonts w:ascii="Arial" w:hAnsi="Arial" w:cs="Arial"/>
          <w:sz w:val="20"/>
          <w:szCs w:val="20"/>
        </w:rPr>
      </w:pPr>
      <w:r>
        <w:rPr>
          <w:noProof/>
        </w:rPr>
        <w:drawing>
          <wp:inline distT="0" distB="0" distL="0" distR="0" wp14:anchorId="57E6E3EF" wp14:editId="7F08FC61">
            <wp:extent cx="640080" cy="640080"/>
            <wp:effectExtent l="0" t="0" r="7620" b="7620"/>
            <wp:docPr id="9" name="Picture 9" descr="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s Cylin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Pr="00CB28C9">
        <w:rPr>
          <w:noProof/>
        </w:rPr>
        <w:t xml:space="preserve"> </w:t>
      </w:r>
      <w:r>
        <w:rPr>
          <w:noProof/>
        </w:rPr>
        <w:drawing>
          <wp:inline distT="0" distB="0" distL="0" distR="0" wp14:anchorId="7DA18481" wp14:editId="0C5FB658">
            <wp:extent cx="647700" cy="647700"/>
            <wp:effectExtent l="0" t="0" r="0" b="0"/>
            <wp:docPr id="10" name="Picture 10" descr="Skull and 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kull and Crossb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A43844" w:rsidRPr="00A43844">
        <w:rPr>
          <w:noProof/>
        </w:rPr>
        <w:t xml:space="preserve"> </w:t>
      </w:r>
      <w:r w:rsidR="00A43844">
        <w:rPr>
          <w:noProof/>
        </w:rPr>
        <w:drawing>
          <wp:inline distT="0" distB="0" distL="0" distR="0" wp14:anchorId="1728B68B" wp14:editId="37E69C8C">
            <wp:extent cx="609600" cy="609600"/>
            <wp:effectExtent l="0" t="0" r="0" b="0"/>
            <wp:docPr id="12" name="Picture 1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rro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65182C" w:rsidRPr="00CB28C9" w:rsidRDefault="00CB28C9" w:rsidP="0065182C">
      <w:pPr>
        <w:jc w:val="center"/>
        <w:rPr>
          <w:rFonts w:ascii="Arial" w:hAnsi="Arial" w:cs="Arial"/>
          <w:sz w:val="48"/>
          <w:szCs w:val="48"/>
        </w:rPr>
      </w:pPr>
      <w:r w:rsidRPr="00CB28C9">
        <w:rPr>
          <w:rFonts w:ascii="Arial" w:hAnsi="Arial" w:cs="Arial"/>
          <w:sz w:val="48"/>
          <w:szCs w:val="48"/>
        </w:rPr>
        <w:t xml:space="preserve">Poisonous </w:t>
      </w:r>
      <w:r w:rsidR="00A43844">
        <w:rPr>
          <w:rFonts w:ascii="Arial" w:hAnsi="Arial" w:cs="Arial"/>
          <w:sz w:val="48"/>
          <w:szCs w:val="48"/>
        </w:rPr>
        <w:t xml:space="preserve">and Corrosive </w:t>
      </w:r>
      <w:r w:rsidRPr="00CB28C9">
        <w:rPr>
          <w:rFonts w:ascii="Arial" w:hAnsi="Arial" w:cs="Arial"/>
          <w:sz w:val="48"/>
          <w:szCs w:val="48"/>
        </w:rPr>
        <w:t>Gases</w:t>
      </w:r>
    </w:p>
    <w:p w:rsidR="0065182C" w:rsidRDefault="0065182C" w:rsidP="0065182C">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22860</wp:posOffset>
                </wp:positionV>
                <wp:extent cx="5212080" cy="30480"/>
                <wp:effectExtent l="0" t="0" r="26670" b="26670"/>
                <wp:wrapNone/>
                <wp:docPr id="1" name="Straight Connector 1"/>
                <wp:cNvGraphicFramePr/>
                <a:graphic xmlns:a="http://schemas.openxmlformats.org/drawingml/2006/main">
                  <a:graphicData uri="http://schemas.microsoft.com/office/word/2010/wordprocessingShape">
                    <wps:wsp>
                      <wps:cNvCnPr/>
                      <wps:spPr>
                        <a:xfrm flipV="1">
                          <a:off x="0" y="0"/>
                          <a:ext cx="5212080" cy="3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327C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8pt,1.8pt" to="448.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" strokecolor="#5b9bd5 [3204]" strokeweight="1pt">
                <v:stroke joinstyle="miter"/>
              </v:line>
            </w:pict>
          </mc:Fallback>
        </mc:AlternateContent>
      </w:r>
    </w:p>
    <w:p w:rsidR="00502A8A" w:rsidRDefault="0065182C" w:rsidP="00502A8A">
      <w:pPr>
        <w:rPr>
          <w:rFonts w:ascii="Calibri" w:eastAsia="Calibri" w:hAnsi="Calibri" w:cs="Calibri"/>
          <w:i/>
          <w:sz w:val="18"/>
        </w:rPr>
      </w:pPr>
      <w:r>
        <w:rPr>
          <w:rFonts w:ascii="Calibri" w:eastAsia="Calibri" w:hAnsi="Calibri" w:cs="Calibri"/>
          <w:i/>
          <w:sz w:val="18"/>
        </w:rPr>
        <w:t xml:space="preserve">This standard operating procedure (SOP) </w:t>
      </w:r>
      <w:proofErr w:type="gramStart"/>
      <w:r>
        <w:rPr>
          <w:rFonts w:ascii="Calibri" w:eastAsia="Calibri" w:hAnsi="Calibri" w:cs="Calibri"/>
          <w:i/>
          <w:sz w:val="18"/>
        </w:rPr>
        <w:t>is intended</w:t>
      </w:r>
      <w:proofErr w:type="gramEnd"/>
      <w:r>
        <w:rPr>
          <w:rFonts w:ascii="Calibri" w:eastAsia="Calibri" w:hAnsi="Calibri" w:cs="Calibri"/>
          <w:i/>
          <w:sz w:val="18"/>
        </w:rPr>
        <w:t xml:space="preserve"> to provide general guidance on how to safely work with this chemical</w:t>
      </w:r>
      <w:r w:rsidR="00CB28C9">
        <w:rPr>
          <w:rFonts w:ascii="Calibri" w:eastAsia="Calibri" w:hAnsi="Calibri" w:cs="Calibri"/>
          <w:i/>
          <w:sz w:val="18"/>
        </w:rPr>
        <w:t>(s)</w:t>
      </w:r>
      <w:r>
        <w:rPr>
          <w:rFonts w:ascii="Calibri" w:eastAsia="Calibri" w:hAnsi="Calibri" w:cs="Calibri"/>
          <w:i/>
          <w:sz w:val="18"/>
        </w:rPr>
        <w:t xml:space="preserve"> or procedure. This SOP is generic in nature and only addresses safety issues specific</w:t>
      </w:r>
      <w:r w:rsidR="00502A8A">
        <w:rPr>
          <w:rFonts w:ascii="Calibri" w:eastAsia="Calibri" w:hAnsi="Calibri" w:cs="Calibri"/>
          <w:i/>
          <w:sz w:val="18"/>
        </w:rPr>
        <w:t xml:space="preserve"> for</w:t>
      </w:r>
      <w:r>
        <w:rPr>
          <w:rFonts w:ascii="Calibri" w:eastAsia="Calibri" w:hAnsi="Calibri" w:cs="Calibri"/>
          <w:i/>
          <w:sz w:val="18"/>
        </w:rPr>
        <w:t xml:space="preserve"> this chemical</w:t>
      </w:r>
      <w:r w:rsidR="00502A8A">
        <w:rPr>
          <w:rFonts w:ascii="Calibri" w:eastAsia="Calibri" w:hAnsi="Calibri" w:cs="Calibri"/>
          <w:i/>
          <w:sz w:val="18"/>
        </w:rPr>
        <w:t>(s)</w:t>
      </w:r>
      <w:r>
        <w:rPr>
          <w:rFonts w:ascii="Calibri" w:eastAsia="Calibri" w:hAnsi="Calibri" w:cs="Calibri"/>
          <w:i/>
          <w:sz w:val="18"/>
        </w:rPr>
        <w:t xml:space="preserve"> or procedure. In some instances, several general use SOPs may be applicable for a specific chemical.</w:t>
      </w:r>
      <w:r w:rsidR="00502A8A" w:rsidRPr="00502A8A">
        <w:rPr>
          <w:rFonts w:ascii="Calibri" w:eastAsia="Calibri" w:hAnsi="Calibri" w:cs="Calibri"/>
          <w:i/>
          <w:sz w:val="18"/>
        </w:rPr>
        <w:t xml:space="preserve"> </w:t>
      </w:r>
      <w:r w:rsidR="00502A8A">
        <w:rPr>
          <w:rFonts w:ascii="Calibri" w:eastAsia="Calibri" w:hAnsi="Calibri" w:cs="Calibri"/>
          <w:i/>
          <w:sz w:val="18"/>
        </w:rPr>
        <w:t>.  Upon completion, forward this SOP to the ESHO, Human Resources for approval.</w:t>
      </w:r>
    </w:p>
    <w:p w:rsidR="0065182C" w:rsidRDefault="0065182C" w:rsidP="0065182C">
      <w:pPr>
        <w:rPr>
          <w:rFonts w:ascii="Calibri" w:eastAsia="Calibri" w:hAnsi="Calibri" w:cs="Calibri"/>
          <w:i/>
          <w:sz w:val="18"/>
        </w:rPr>
      </w:pPr>
    </w:p>
    <w:p w:rsidR="0065182C" w:rsidRDefault="0065182C" w:rsidP="0065182C">
      <w:pPr>
        <w:rPr>
          <w:rFonts w:ascii="Calibri" w:eastAsia="Calibri" w:hAnsi="Calibri" w:cs="Calibri"/>
          <w:i/>
          <w:sz w:val="18"/>
        </w:rPr>
      </w:pPr>
    </w:p>
    <w:p w:rsidR="00CB28C9" w:rsidRPr="00CB28C9" w:rsidRDefault="0065182C" w:rsidP="00CB28C9">
      <w:pPr>
        <w:pStyle w:val="NormalWeb"/>
        <w:rPr>
          <w:rFonts w:ascii="Arial" w:eastAsia="Calibri" w:hAnsi="Arial" w:cs="Arial"/>
        </w:rPr>
      </w:pPr>
      <w:r w:rsidRPr="00CB28C9">
        <w:rPr>
          <w:rFonts w:ascii="Arial" w:eastAsia="Calibri" w:hAnsi="Arial" w:cs="Arial"/>
          <w:b/>
        </w:rPr>
        <w:t>Introduction</w:t>
      </w:r>
      <w:r w:rsidRPr="00CB28C9">
        <w:rPr>
          <w:rFonts w:ascii="Arial" w:eastAsia="Calibri" w:hAnsi="Arial" w:cs="Arial"/>
        </w:rPr>
        <w:t>:</w:t>
      </w:r>
    </w:p>
    <w:p w:rsidR="00CB28C9" w:rsidRPr="00CB28C9" w:rsidRDefault="00CB28C9" w:rsidP="00CB28C9">
      <w:pPr>
        <w:pStyle w:val="NormalWeb"/>
        <w:rPr>
          <w:rFonts w:ascii="Arial" w:hAnsi="Arial" w:cs="Arial"/>
          <w:sz w:val="20"/>
          <w:szCs w:val="20"/>
        </w:rPr>
      </w:pPr>
      <w:r>
        <w:rPr>
          <w:rStyle w:val="Strong"/>
          <w:rFonts w:ascii="Arial" w:hAnsi="Arial" w:cs="Arial"/>
          <w:sz w:val="20"/>
          <w:szCs w:val="20"/>
        </w:rPr>
        <w:t>Poisonous</w:t>
      </w:r>
      <w:r w:rsidRPr="00CB28C9">
        <w:rPr>
          <w:rStyle w:val="Strong"/>
          <w:rFonts w:ascii="Arial" w:hAnsi="Arial" w:cs="Arial"/>
          <w:sz w:val="20"/>
          <w:szCs w:val="20"/>
        </w:rPr>
        <w:t xml:space="preserve"> gases</w:t>
      </w:r>
      <w:r w:rsidRPr="00CB28C9">
        <w:rPr>
          <w:rFonts w:ascii="Arial" w:hAnsi="Arial" w:cs="Arial"/>
          <w:sz w:val="20"/>
          <w:szCs w:val="20"/>
        </w:rPr>
        <w:t xml:space="preserve"> are those gases that are sufficiently toxic and/or reactive to meet one of the definitions given below.  They include </w:t>
      </w:r>
      <w:r w:rsidRPr="00CB28C9">
        <w:rPr>
          <w:rStyle w:val="Strong"/>
          <w:rFonts w:ascii="Arial" w:hAnsi="Arial" w:cs="Arial"/>
          <w:sz w:val="20"/>
          <w:szCs w:val="20"/>
        </w:rPr>
        <w:t>acutely toxic</w:t>
      </w:r>
      <w:r>
        <w:rPr>
          <w:rFonts w:ascii="Arial" w:hAnsi="Arial" w:cs="Arial"/>
          <w:sz w:val="20"/>
          <w:szCs w:val="20"/>
        </w:rPr>
        <w:t xml:space="preserve"> and </w:t>
      </w:r>
      <w:r w:rsidRPr="00CB28C9">
        <w:rPr>
          <w:rFonts w:ascii="Arial" w:hAnsi="Arial" w:cs="Arial"/>
          <w:b/>
          <w:sz w:val="20"/>
          <w:szCs w:val="20"/>
        </w:rPr>
        <w:t xml:space="preserve">corrosive </w:t>
      </w:r>
      <w:r>
        <w:rPr>
          <w:rFonts w:ascii="Arial" w:hAnsi="Arial" w:cs="Arial"/>
          <w:sz w:val="20"/>
          <w:szCs w:val="20"/>
        </w:rPr>
        <w:t>gases</w:t>
      </w:r>
      <w:r w:rsidRPr="00CB28C9">
        <w:rPr>
          <w:rFonts w:ascii="Arial" w:hAnsi="Arial" w:cs="Arial"/>
          <w:sz w:val="20"/>
          <w:szCs w:val="20"/>
        </w:rPr>
        <w:t>. </w:t>
      </w:r>
    </w:p>
    <w:p w:rsidR="00CB28C9" w:rsidRDefault="00CB28C9" w:rsidP="00CB28C9">
      <w:pPr>
        <w:pStyle w:val="NormalWeb"/>
      </w:pPr>
      <w:r w:rsidRPr="00CB28C9">
        <w:rPr>
          <w:rStyle w:val="Strong"/>
          <w:rFonts w:ascii="Arial" w:hAnsi="Arial" w:cs="Arial"/>
          <w:sz w:val="20"/>
          <w:szCs w:val="20"/>
        </w:rPr>
        <w:t>Inert</w:t>
      </w:r>
      <w:r w:rsidRPr="00CB28C9">
        <w:rPr>
          <w:rFonts w:ascii="Arial" w:hAnsi="Arial" w:cs="Arial"/>
          <w:sz w:val="20"/>
          <w:szCs w:val="20"/>
        </w:rPr>
        <w:t xml:space="preserve"> compressed gases such as nitrogen, argon, and carbon dioxide </w:t>
      </w:r>
      <w:proofErr w:type="gramStart"/>
      <w:r w:rsidRPr="00CB28C9">
        <w:rPr>
          <w:rFonts w:ascii="Arial" w:hAnsi="Arial" w:cs="Arial"/>
          <w:sz w:val="20"/>
          <w:szCs w:val="20"/>
        </w:rPr>
        <w:t xml:space="preserve">are </w:t>
      </w:r>
      <w:r w:rsidRPr="00CB28C9">
        <w:rPr>
          <w:rFonts w:ascii="Arial" w:hAnsi="Arial" w:cs="Arial"/>
          <w:sz w:val="20"/>
          <w:szCs w:val="20"/>
          <w:u w:val="single"/>
        </w:rPr>
        <w:t>not</w:t>
      </w:r>
      <w:r w:rsidRPr="00CB28C9">
        <w:rPr>
          <w:rFonts w:ascii="Arial" w:hAnsi="Arial" w:cs="Arial"/>
          <w:sz w:val="20"/>
          <w:szCs w:val="20"/>
        </w:rPr>
        <w:t xml:space="preserve"> considered</w:t>
      </w:r>
      <w:proofErr w:type="gramEnd"/>
      <w:r w:rsidRPr="00CB28C9">
        <w:rPr>
          <w:rFonts w:ascii="Arial" w:hAnsi="Arial" w:cs="Arial"/>
          <w:sz w:val="20"/>
          <w:szCs w:val="20"/>
        </w:rPr>
        <w:t xml:space="preserve"> "Hazardous Gases" for the purpose of this SOP.</w:t>
      </w:r>
      <w:r>
        <w:t> </w:t>
      </w:r>
    </w:p>
    <w:p w:rsidR="0065182C" w:rsidRPr="0057784E" w:rsidRDefault="0065182C" w:rsidP="0065182C">
      <w:pPr>
        <w:rPr>
          <w:rFonts w:ascii="Arial" w:eastAsia="Calibri" w:hAnsi="Arial" w:cs="Arial"/>
          <w:sz w:val="24"/>
          <w:szCs w:val="24"/>
        </w:rPr>
      </w:pPr>
      <w:r w:rsidRPr="0057784E">
        <w:rPr>
          <w:rFonts w:ascii="Arial" w:eastAsia="Calibri" w:hAnsi="Arial" w:cs="Arial"/>
          <w:b/>
          <w:sz w:val="24"/>
          <w:szCs w:val="24"/>
        </w:rPr>
        <w:t>Toxicology</w:t>
      </w:r>
      <w:r w:rsidRPr="0057784E">
        <w:rPr>
          <w:rFonts w:ascii="Arial" w:eastAsia="Calibri" w:hAnsi="Arial" w:cs="Arial"/>
          <w:sz w:val="24"/>
          <w:szCs w:val="24"/>
        </w:rPr>
        <w:t>:</w:t>
      </w:r>
    </w:p>
    <w:p w:rsidR="00CB28C9" w:rsidRPr="00CB28C9" w:rsidRDefault="00CB28C9" w:rsidP="00CB28C9">
      <w:p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 xml:space="preserve">There </w:t>
      </w:r>
      <w:r w:rsidR="0057784E">
        <w:rPr>
          <w:rFonts w:ascii="Arial" w:eastAsia="Times New Roman" w:hAnsi="Arial" w:cs="Arial"/>
          <w:sz w:val="20"/>
          <w:szCs w:val="20"/>
        </w:rPr>
        <w:t>are two categories of Poisonous G</w:t>
      </w:r>
      <w:r w:rsidRPr="00CB28C9">
        <w:rPr>
          <w:rFonts w:ascii="Arial" w:eastAsia="Times New Roman" w:hAnsi="Arial" w:cs="Arial"/>
          <w:sz w:val="20"/>
          <w:szCs w:val="20"/>
        </w:rPr>
        <w:t>ases included in this SOP.  Ex</w:t>
      </w:r>
      <w:r w:rsidR="00A43844">
        <w:rPr>
          <w:rFonts w:ascii="Arial" w:eastAsia="Times New Roman" w:hAnsi="Arial" w:cs="Arial"/>
          <w:sz w:val="20"/>
          <w:szCs w:val="20"/>
        </w:rPr>
        <w:t>amples of each Poisonous and Corrosive</w:t>
      </w:r>
      <w:r w:rsidRPr="00CB28C9">
        <w:rPr>
          <w:rFonts w:ascii="Arial" w:eastAsia="Times New Roman" w:hAnsi="Arial" w:cs="Arial"/>
          <w:sz w:val="20"/>
          <w:szCs w:val="20"/>
        </w:rPr>
        <w:t xml:space="preserve"> gas</w:t>
      </w:r>
      <w:r w:rsidR="00A43844">
        <w:rPr>
          <w:rFonts w:ascii="Arial" w:eastAsia="Times New Roman" w:hAnsi="Arial" w:cs="Arial"/>
          <w:sz w:val="20"/>
          <w:szCs w:val="20"/>
        </w:rPr>
        <w:t>es are included in</w:t>
      </w:r>
      <w:r w:rsidRPr="00CB28C9">
        <w:rPr>
          <w:rFonts w:ascii="Arial" w:eastAsia="Times New Roman" w:hAnsi="Arial" w:cs="Arial"/>
          <w:sz w:val="20"/>
          <w:szCs w:val="20"/>
        </w:rPr>
        <w:t xml:space="preserve"> a </w:t>
      </w:r>
      <w:r w:rsidR="00A43844">
        <w:rPr>
          <w:rFonts w:ascii="Arial" w:eastAsia="Times New Roman" w:hAnsi="Arial" w:cs="Arial"/>
          <w:sz w:val="20"/>
          <w:szCs w:val="20"/>
        </w:rPr>
        <w:t>list below</w:t>
      </w:r>
      <w:r w:rsidRPr="00CB28C9">
        <w:rPr>
          <w:rFonts w:ascii="Arial" w:eastAsia="Times New Roman" w:hAnsi="Arial" w:cs="Arial"/>
          <w:sz w:val="20"/>
          <w:szCs w:val="20"/>
        </w:rPr>
        <w:t>.</w:t>
      </w:r>
    </w:p>
    <w:p w:rsidR="00CB28C9" w:rsidRPr="00CB28C9" w:rsidRDefault="00CB28C9" w:rsidP="00CB28C9">
      <w:pPr>
        <w:spacing w:before="100" w:beforeAutospacing="1" w:after="100" w:afterAutospacing="1" w:line="240" w:lineRule="auto"/>
        <w:outlineLvl w:val="2"/>
        <w:rPr>
          <w:rFonts w:ascii="Arial" w:eastAsia="Times New Roman" w:hAnsi="Arial" w:cs="Arial"/>
          <w:b/>
          <w:bCs/>
          <w:sz w:val="20"/>
          <w:szCs w:val="20"/>
        </w:rPr>
      </w:pPr>
      <w:r w:rsidRPr="00CB28C9">
        <w:rPr>
          <w:rFonts w:ascii="Arial" w:eastAsia="Times New Roman" w:hAnsi="Arial" w:cs="Arial"/>
          <w:b/>
          <w:bCs/>
          <w:sz w:val="20"/>
          <w:szCs w:val="20"/>
        </w:rPr>
        <w:t>Acutely Toxic Gases</w:t>
      </w:r>
    </w:p>
    <w:p w:rsidR="00CB28C9" w:rsidRPr="00CB28C9" w:rsidRDefault="00CB28C9" w:rsidP="00CB28C9">
      <w:p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 xml:space="preserve">The definition of a toxic and highly toxic gas </w:t>
      </w:r>
      <w:proofErr w:type="gramStart"/>
      <w:r w:rsidRPr="00CB28C9">
        <w:rPr>
          <w:rFonts w:ascii="Arial" w:eastAsia="Times New Roman" w:hAnsi="Arial" w:cs="Arial"/>
          <w:sz w:val="20"/>
          <w:szCs w:val="20"/>
        </w:rPr>
        <w:t>is related</w:t>
      </w:r>
      <w:proofErr w:type="gramEnd"/>
      <w:r w:rsidRPr="00CB28C9">
        <w:rPr>
          <w:rFonts w:ascii="Arial" w:eastAsia="Times New Roman" w:hAnsi="Arial" w:cs="Arial"/>
          <w:sz w:val="20"/>
          <w:szCs w:val="20"/>
        </w:rPr>
        <w:t xml:space="preserve"> to the lethal concentration where 50% of a sample population of albino rats die after exposure. This value </w:t>
      </w:r>
      <w:proofErr w:type="gramStart"/>
      <w:r w:rsidRPr="00CB28C9">
        <w:rPr>
          <w:rFonts w:ascii="Arial" w:eastAsia="Times New Roman" w:hAnsi="Arial" w:cs="Arial"/>
          <w:sz w:val="20"/>
          <w:szCs w:val="20"/>
        </w:rPr>
        <w:t>is referred</w:t>
      </w:r>
      <w:proofErr w:type="gramEnd"/>
      <w:r w:rsidRPr="00CB28C9">
        <w:rPr>
          <w:rFonts w:ascii="Arial" w:eastAsia="Times New Roman" w:hAnsi="Arial" w:cs="Arial"/>
          <w:sz w:val="20"/>
          <w:szCs w:val="20"/>
        </w:rPr>
        <w:t xml:space="preserve"> to as the LC50, with the levels defined as follows:</w:t>
      </w:r>
    </w:p>
    <w:p w:rsidR="00CB28C9" w:rsidRPr="00CB28C9" w:rsidRDefault="00CB28C9" w:rsidP="0057784E">
      <w:pPr>
        <w:spacing w:before="100" w:beforeAutospacing="1" w:after="100" w:afterAutospacing="1" w:line="240" w:lineRule="auto"/>
        <w:ind w:firstLine="360"/>
        <w:outlineLvl w:val="3"/>
        <w:rPr>
          <w:rFonts w:ascii="Arial" w:eastAsia="Times New Roman" w:hAnsi="Arial" w:cs="Arial"/>
          <w:b/>
          <w:bCs/>
          <w:sz w:val="20"/>
          <w:szCs w:val="20"/>
        </w:rPr>
      </w:pPr>
      <w:r w:rsidRPr="00CB28C9">
        <w:rPr>
          <w:rFonts w:ascii="Arial" w:eastAsia="Times New Roman" w:hAnsi="Arial" w:cs="Arial"/>
          <w:b/>
          <w:bCs/>
          <w:sz w:val="20"/>
          <w:szCs w:val="20"/>
        </w:rPr>
        <w:t>Toxic Gas</w:t>
      </w:r>
    </w:p>
    <w:p w:rsidR="00CB28C9" w:rsidRPr="00CB28C9" w:rsidRDefault="00CB28C9" w:rsidP="00CB28C9">
      <w:pPr>
        <w:numPr>
          <w:ilvl w:val="0"/>
          <w:numId w:val="1"/>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A gas with a median lethal concentration (LC50) in air of more than 200 ppm, but not more than 2,000 ppm by volume of gas.  </w:t>
      </w:r>
    </w:p>
    <w:p w:rsidR="00CB28C9" w:rsidRPr="00CB28C9" w:rsidRDefault="00CB28C9" w:rsidP="00CB28C9">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Classified as WHMIS</w:t>
      </w:r>
      <w:r w:rsidRPr="00CB28C9">
        <w:rPr>
          <w:rFonts w:ascii="Arial" w:eastAsia="Times New Roman" w:hAnsi="Arial" w:cs="Arial"/>
          <w:sz w:val="20"/>
          <w:szCs w:val="20"/>
        </w:rPr>
        <w:t xml:space="preserve"> Category 2 for Acute Toxicity</w:t>
      </w:r>
    </w:p>
    <w:p w:rsidR="00CB28C9" w:rsidRPr="00CB28C9" w:rsidRDefault="00CB28C9" w:rsidP="0057784E">
      <w:pPr>
        <w:spacing w:before="100" w:beforeAutospacing="1" w:after="100" w:afterAutospacing="1" w:line="240" w:lineRule="auto"/>
        <w:ind w:firstLine="360"/>
        <w:outlineLvl w:val="3"/>
        <w:rPr>
          <w:rFonts w:ascii="Arial" w:eastAsia="Times New Roman" w:hAnsi="Arial" w:cs="Arial"/>
          <w:b/>
          <w:bCs/>
          <w:sz w:val="20"/>
          <w:szCs w:val="20"/>
        </w:rPr>
      </w:pPr>
      <w:r w:rsidRPr="00CB28C9">
        <w:rPr>
          <w:rFonts w:ascii="Arial" w:eastAsia="Times New Roman" w:hAnsi="Arial" w:cs="Arial"/>
          <w:b/>
          <w:bCs/>
          <w:i/>
          <w:iCs/>
          <w:sz w:val="20"/>
          <w:szCs w:val="20"/>
        </w:rPr>
        <w:t>Highly</w:t>
      </w:r>
      <w:r w:rsidRPr="00CB28C9">
        <w:rPr>
          <w:rFonts w:ascii="Arial" w:eastAsia="Times New Roman" w:hAnsi="Arial" w:cs="Arial"/>
          <w:b/>
          <w:bCs/>
          <w:sz w:val="20"/>
          <w:szCs w:val="20"/>
        </w:rPr>
        <w:t xml:space="preserve"> Toxic Gas</w:t>
      </w:r>
    </w:p>
    <w:p w:rsidR="00CB28C9" w:rsidRPr="00CB28C9" w:rsidRDefault="00CB28C9" w:rsidP="00CB28C9">
      <w:pPr>
        <w:numPr>
          <w:ilvl w:val="0"/>
          <w:numId w:val="2"/>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lastRenderedPageBreak/>
        <w:t>A gas with a median lethal concentration (LC50) in air of 200 ppm or less.</w:t>
      </w:r>
    </w:p>
    <w:p w:rsidR="00CB28C9" w:rsidRPr="00CB28C9" w:rsidRDefault="00CB28C9" w:rsidP="00CB28C9">
      <w:pPr>
        <w:numPr>
          <w:ilvl w:val="0"/>
          <w:numId w:val="2"/>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Classifi</w:t>
      </w:r>
      <w:r>
        <w:rPr>
          <w:rFonts w:ascii="Arial" w:eastAsia="Times New Roman" w:hAnsi="Arial" w:cs="Arial"/>
          <w:sz w:val="20"/>
          <w:szCs w:val="20"/>
        </w:rPr>
        <w:t>ed as WHMIS</w:t>
      </w:r>
      <w:r w:rsidRPr="00CB28C9">
        <w:rPr>
          <w:rFonts w:ascii="Arial" w:eastAsia="Times New Roman" w:hAnsi="Arial" w:cs="Arial"/>
          <w:sz w:val="20"/>
          <w:szCs w:val="20"/>
        </w:rPr>
        <w:t xml:space="preserve"> Category 1 for Acute Toxicity</w:t>
      </w:r>
    </w:p>
    <w:p w:rsidR="00CB28C9" w:rsidRPr="00CB28C9" w:rsidRDefault="00CB28C9" w:rsidP="00CB28C9">
      <w:pPr>
        <w:spacing w:before="100" w:beforeAutospacing="1" w:after="100" w:afterAutospacing="1" w:line="240" w:lineRule="auto"/>
        <w:outlineLvl w:val="2"/>
        <w:rPr>
          <w:rFonts w:ascii="Arial" w:eastAsia="Times New Roman" w:hAnsi="Arial" w:cs="Arial"/>
          <w:b/>
          <w:bCs/>
          <w:sz w:val="20"/>
          <w:szCs w:val="20"/>
        </w:rPr>
      </w:pPr>
      <w:r w:rsidRPr="00CB28C9">
        <w:rPr>
          <w:rFonts w:ascii="Arial" w:eastAsia="Times New Roman" w:hAnsi="Arial" w:cs="Arial"/>
          <w:b/>
          <w:bCs/>
          <w:sz w:val="20"/>
          <w:szCs w:val="20"/>
        </w:rPr>
        <w:t>Corrosive Gases</w:t>
      </w:r>
    </w:p>
    <w:p w:rsidR="00CB28C9" w:rsidRPr="00CB28C9" w:rsidRDefault="00CB28C9" w:rsidP="00CB28C9">
      <w:pPr>
        <w:numPr>
          <w:ilvl w:val="0"/>
          <w:numId w:val="3"/>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Corrosive gases cause visible destruction of or irreversible alterations in living tissue by chemical action at the site of contact.</w:t>
      </w:r>
    </w:p>
    <w:p w:rsidR="00CB28C9" w:rsidRPr="00CB28C9" w:rsidRDefault="00CB28C9" w:rsidP="00CB28C9">
      <w:pPr>
        <w:numPr>
          <w:ilvl w:val="0"/>
          <w:numId w:val="3"/>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 xml:space="preserve">The magnitude of the effect </w:t>
      </w:r>
      <w:proofErr w:type="gramStart"/>
      <w:r w:rsidRPr="00CB28C9">
        <w:rPr>
          <w:rFonts w:ascii="Arial" w:eastAsia="Times New Roman" w:hAnsi="Arial" w:cs="Arial"/>
          <w:sz w:val="20"/>
          <w:szCs w:val="20"/>
        </w:rPr>
        <w:t>is related</w:t>
      </w:r>
      <w:proofErr w:type="gramEnd"/>
      <w:r w:rsidRPr="00CB28C9">
        <w:rPr>
          <w:rFonts w:ascii="Arial" w:eastAsia="Times New Roman" w:hAnsi="Arial" w:cs="Arial"/>
          <w:sz w:val="20"/>
          <w:szCs w:val="20"/>
        </w:rPr>
        <w:t xml:space="preserve"> to the solubility of the material in the body fluids. </w:t>
      </w:r>
    </w:p>
    <w:p w:rsidR="00CB28C9" w:rsidRPr="00CB28C9" w:rsidRDefault="00CB28C9" w:rsidP="00CB28C9">
      <w:pPr>
        <w:numPr>
          <w:ilvl w:val="0"/>
          <w:numId w:val="3"/>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Highly soluble gases such as ammonia or hydrogen chloride can cause severe nose and throat irritation, while substances of lower solubility such as nitrogen dioxide, phosgene, or sulfur dioxide can penetrate deep into the lungs. </w:t>
      </w:r>
    </w:p>
    <w:p w:rsidR="00CB28C9" w:rsidRPr="00CB28C9" w:rsidRDefault="00CB28C9" w:rsidP="00CB28C9">
      <w:pPr>
        <w:numPr>
          <w:ilvl w:val="0"/>
          <w:numId w:val="3"/>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Corrosive gases also can corrode metals. </w:t>
      </w:r>
    </w:p>
    <w:p w:rsidR="00CB28C9" w:rsidRPr="00CB28C9" w:rsidRDefault="00CB28C9" w:rsidP="00CB28C9">
      <w:pPr>
        <w:numPr>
          <w:ilvl w:val="0"/>
          <w:numId w:val="3"/>
        </w:numPr>
        <w:spacing w:before="100" w:beforeAutospacing="1" w:after="100" w:afterAutospacing="1" w:line="240" w:lineRule="auto"/>
        <w:rPr>
          <w:rFonts w:ascii="Arial" w:eastAsia="Times New Roman" w:hAnsi="Arial" w:cs="Arial"/>
          <w:sz w:val="20"/>
          <w:szCs w:val="20"/>
        </w:rPr>
      </w:pPr>
      <w:r w:rsidRPr="00CB28C9">
        <w:rPr>
          <w:rFonts w:ascii="Arial" w:eastAsia="Times New Roman" w:hAnsi="Arial" w:cs="Arial"/>
          <w:sz w:val="20"/>
          <w:szCs w:val="20"/>
        </w:rPr>
        <w:t>Warning properties such as odor or eye, nose or respiratory tract irritation may be inadequate with some substances.  Do not rely upon these symptoms as warning of overexposure. </w:t>
      </w:r>
    </w:p>
    <w:p w:rsidR="0065182C" w:rsidRDefault="001B5202" w:rsidP="0065182C">
      <w:pPr>
        <w:rPr>
          <w:sz w:val="20"/>
          <w:szCs w:val="20"/>
        </w:rPr>
      </w:pPr>
      <w:r>
        <w:rPr>
          <w:sz w:val="20"/>
          <w:szCs w:val="20"/>
        </w:rPr>
        <w:t>Examples of Acutely Toxic and Corrosive Gases</w:t>
      </w:r>
    </w:p>
    <w:p w:rsidR="001B5202" w:rsidRDefault="001B5202" w:rsidP="0065182C">
      <w:pPr>
        <w:rPr>
          <w:sz w:val="20"/>
          <w:szCs w:val="20"/>
        </w:rPr>
      </w:pPr>
    </w:p>
    <w:tbl>
      <w:tblPr>
        <w:tblStyle w:val="TableGrid0"/>
        <w:tblW w:w="0" w:type="auto"/>
        <w:tblLook w:val="04A0" w:firstRow="1" w:lastRow="0" w:firstColumn="1" w:lastColumn="0" w:noHBand="0" w:noVBand="1"/>
      </w:tblPr>
      <w:tblGrid>
        <w:gridCol w:w="3116"/>
        <w:gridCol w:w="3117"/>
        <w:gridCol w:w="3117"/>
      </w:tblGrid>
      <w:tr w:rsidR="001B5202" w:rsidTr="001B5202">
        <w:tc>
          <w:tcPr>
            <w:tcW w:w="3116" w:type="dxa"/>
          </w:tcPr>
          <w:p w:rsidR="001B5202" w:rsidRPr="00A43844" w:rsidRDefault="001B5202" w:rsidP="0065182C">
            <w:pPr>
              <w:rPr>
                <w:b/>
                <w:sz w:val="20"/>
                <w:szCs w:val="20"/>
              </w:rPr>
            </w:pPr>
            <w:r w:rsidRPr="00A43844">
              <w:rPr>
                <w:b/>
                <w:sz w:val="20"/>
                <w:szCs w:val="20"/>
              </w:rPr>
              <w:t>Acutely Toxic Gases</w:t>
            </w:r>
          </w:p>
        </w:tc>
        <w:tc>
          <w:tcPr>
            <w:tcW w:w="3117" w:type="dxa"/>
          </w:tcPr>
          <w:p w:rsidR="001B5202" w:rsidRDefault="001B5202" w:rsidP="0065182C">
            <w:pPr>
              <w:rPr>
                <w:sz w:val="20"/>
                <w:szCs w:val="20"/>
              </w:rPr>
            </w:pPr>
          </w:p>
        </w:tc>
        <w:tc>
          <w:tcPr>
            <w:tcW w:w="3117" w:type="dxa"/>
          </w:tcPr>
          <w:p w:rsidR="001B5202" w:rsidRDefault="001B5202" w:rsidP="0065182C">
            <w:pPr>
              <w:rPr>
                <w:sz w:val="20"/>
                <w:szCs w:val="20"/>
              </w:rPr>
            </w:pPr>
          </w:p>
        </w:tc>
      </w:tr>
      <w:tr w:rsidR="001B5202" w:rsidTr="001B5202">
        <w:tc>
          <w:tcPr>
            <w:tcW w:w="3116" w:type="dxa"/>
          </w:tcPr>
          <w:p w:rsidR="001B5202" w:rsidRDefault="001B5202" w:rsidP="0065182C">
            <w:pPr>
              <w:rPr>
                <w:sz w:val="20"/>
                <w:szCs w:val="20"/>
              </w:rPr>
            </w:pPr>
            <w:r>
              <w:rPr>
                <w:sz w:val="20"/>
                <w:szCs w:val="20"/>
              </w:rPr>
              <w:t xml:space="preserve">Arsenic </w:t>
            </w:r>
            <w:proofErr w:type="spellStart"/>
            <w:r>
              <w:rPr>
                <w:sz w:val="20"/>
                <w:szCs w:val="20"/>
              </w:rPr>
              <w:t>pentafluoride</w:t>
            </w:r>
            <w:proofErr w:type="spellEnd"/>
          </w:p>
        </w:tc>
        <w:tc>
          <w:tcPr>
            <w:tcW w:w="3117" w:type="dxa"/>
          </w:tcPr>
          <w:p w:rsidR="001B5202" w:rsidRDefault="001B5202" w:rsidP="0065182C">
            <w:pPr>
              <w:rPr>
                <w:sz w:val="20"/>
                <w:szCs w:val="20"/>
              </w:rPr>
            </w:pPr>
            <w:r>
              <w:rPr>
                <w:sz w:val="20"/>
                <w:szCs w:val="20"/>
              </w:rPr>
              <w:t>Arsine</w:t>
            </w:r>
          </w:p>
        </w:tc>
        <w:tc>
          <w:tcPr>
            <w:tcW w:w="3117" w:type="dxa"/>
          </w:tcPr>
          <w:p w:rsidR="001B5202" w:rsidRDefault="001B5202" w:rsidP="0065182C">
            <w:pPr>
              <w:rPr>
                <w:sz w:val="20"/>
                <w:szCs w:val="20"/>
              </w:rPr>
            </w:pPr>
            <w:r>
              <w:rPr>
                <w:sz w:val="20"/>
                <w:szCs w:val="20"/>
              </w:rPr>
              <w:t xml:space="preserve">Boron </w:t>
            </w:r>
            <w:proofErr w:type="spellStart"/>
            <w:r>
              <w:rPr>
                <w:sz w:val="20"/>
                <w:szCs w:val="20"/>
              </w:rPr>
              <w:t>trifluoride</w:t>
            </w:r>
            <w:proofErr w:type="spellEnd"/>
          </w:p>
        </w:tc>
      </w:tr>
      <w:tr w:rsidR="001B5202" w:rsidTr="001B5202">
        <w:tc>
          <w:tcPr>
            <w:tcW w:w="3116" w:type="dxa"/>
          </w:tcPr>
          <w:p w:rsidR="001B5202" w:rsidRDefault="001B5202" w:rsidP="0065182C">
            <w:pPr>
              <w:rPr>
                <w:sz w:val="20"/>
                <w:szCs w:val="20"/>
              </w:rPr>
            </w:pPr>
            <w:r>
              <w:rPr>
                <w:sz w:val="20"/>
                <w:szCs w:val="20"/>
              </w:rPr>
              <w:t>Chlorine</w:t>
            </w:r>
          </w:p>
        </w:tc>
        <w:tc>
          <w:tcPr>
            <w:tcW w:w="3117" w:type="dxa"/>
          </w:tcPr>
          <w:p w:rsidR="001B5202" w:rsidRDefault="001B5202" w:rsidP="0065182C">
            <w:pPr>
              <w:rPr>
                <w:sz w:val="20"/>
                <w:szCs w:val="20"/>
              </w:rPr>
            </w:pPr>
            <w:r>
              <w:rPr>
                <w:sz w:val="20"/>
                <w:szCs w:val="20"/>
              </w:rPr>
              <w:t>Diazomethane</w:t>
            </w:r>
          </w:p>
        </w:tc>
        <w:tc>
          <w:tcPr>
            <w:tcW w:w="3117" w:type="dxa"/>
          </w:tcPr>
          <w:p w:rsidR="001B5202" w:rsidRDefault="001B5202" w:rsidP="0065182C">
            <w:pPr>
              <w:rPr>
                <w:sz w:val="20"/>
                <w:szCs w:val="20"/>
              </w:rPr>
            </w:pPr>
            <w:proofErr w:type="spellStart"/>
            <w:r>
              <w:rPr>
                <w:sz w:val="20"/>
                <w:szCs w:val="20"/>
              </w:rPr>
              <w:t>Diborane</w:t>
            </w:r>
            <w:proofErr w:type="spellEnd"/>
          </w:p>
        </w:tc>
      </w:tr>
      <w:tr w:rsidR="001B5202" w:rsidTr="001B5202">
        <w:tc>
          <w:tcPr>
            <w:tcW w:w="3116" w:type="dxa"/>
          </w:tcPr>
          <w:p w:rsidR="001B5202" w:rsidRDefault="001B5202" w:rsidP="0065182C">
            <w:pPr>
              <w:rPr>
                <w:sz w:val="20"/>
                <w:szCs w:val="20"/>
              </w:rPr>
            </w:pPr>
            <w:r>
              <w:rPr>
                <w:sz w:val="20"/>
                <w:szCs w:val="20"/>
              </w:rPr>
              <w:t>Fluorine</w:t>
            </w:r>
          </w:p>
        </w:tc>
        <w:tc>
          <w:tcPr>
            <w:tcW w:w="3117" w:type="dxa"/>
          </w:tcPr>
          <w:p w:rsidR="001B5202" w:rsidRDefault="001B5202" w:rsidP="0065182C">
            <w:pPr>
              <w:rPr>
                <w:sz w:val="20"/>
                <w:szCs w:val="20"/>
              </w:rPr>
            </w:pPr>
            <w:r>
              <w:rPr>
                <w:sz w:val="20"/>
                <w:szCs w:val="20"/>
              </w:rPr>
              <w:t xml:space="preserve">Methyl </w:t>
            </w:r>
            <w:proofErr w:type="spellStart"/>
            <w:r>
              <w:rPr>
                <w:sz w:val="20"/>
                <w:szCs w:val="20"/>
              </w:rPr>
              <w:t>mercaptan</w:t>
            </w:r>
            <w:proofErr w:type="spellEnd"/>
          </w:p>
        </w:tc>
        <w:tc>
          <w:tcPr>
            <w:tcW w:w="3117" w:type="dxa"/>
          </w:tcPr>
          <w:p w:rsidR="001B5202" w:rsidRDefault="001B5202" w:rsidP="0065182C">
            <w:pPr>
              <w:rPr>
                <w:sz w:val="20"/>
                <w:szCs w:val="20"/>
              </w:rPr>
            </w:pPr>
            <w:r>
              <w:rPr>
                <w:sz w:val="20"/>
                <w:szCs w:val="20"/>
              </w:rPr>
              <w:t>Oxygen difluoride</w:t>
            </w:r>
          </w:p>
        </w:tc>
      </w:tr>
      <w:tr w:rsidR="001B5202" w:rsidTr="001B5202">
        <w:tc>
          <w:tcPr>
            <w:tcW w:w="3116" w:type="dxa"/>
          </w:tcPr>
          <w:p w:rsidR="001B5202" w:rsidRDefault="001B5202" w:rsidP="0065182C">
            <w:pPr>
              <w:rPr>
                <w:sz w:val="20"/>
                <w:szCs w:val="20"/>
              </w:rPr>
            </w:pPr>
            <w:r>
              <w:rPr>
                <w:sz w:val="20"/>
                <w:szCs w:val="20"/>
              </w:rPr>
              <w:t>Phosgene</w:t>
            </w:r>
          </w:p>
        </w:tc>
        <w:tc>
          <w:tcPr>
            <w:tcW w:w="3117" w:type="dxa"/>
          </w:tcPr>
          <w:p w:rsidR="001B5202" w:rsidRDefault="001B5202" w:rsidP="0065182C">
            <w:pPr>
              <w:rPr>
                <w:sz w:val="20"/>
                <w:szCs w:val="20"/>
              </w:rPr>
            </w:pPr>
            <w:r>
              <w:rPr>
                <w:sz w:val="20"/>
                <w:szCs w:val="20"/>
              </w:rPr>
              <w:t>Phosphine</w:t>
            </w:r>
          </w:p>
        </w:tc>
        <w:tc>
          <w:tcPr>
            <w:tcW w:w="3117" w:type="dxa"/>
          </w:tcPr>
          <w:p w:rsidR="001B5202" w:rsidRDefault="001B5202" w:rsidP="0065182C">
            <w:pPr>
              <w:rPr>
                <w:sz w:val="20"/>
                <w:szCs w:val="20"/>
              </w:rPr>
            </w:pPr>
            <w:r>
              <w:rPr>
                <w:sz w:val="20"/>
                <w:szCs w:val="20"/>
              </w:rPr>
              <w:t xml:space="preserve">Phosphorus </w:t>
            </w:r>
            <w:proofErr w:type="spellStart"/>
            <w:r>
              <w:rPr>
                <w:sz w:val="20"/>
                <w:szCs w:val="20"/>
              </w:rPr>
              <w:t>pentafluoride</w:t>
            </w:r>
            <w:proofErr w:type="spellEnd"/>
          </w:p>
        </w:tc>
      </w:tr>
      <w:tr w:rsidR="001B5202" w:rsidTr="001B5202">
        <w:tc>
          <w:tcPr>
            <w:tcW w:w="3116" w:type="dxa"/>
          </w:tcPr>
          <w:p w:rsidR="001B5202" w:rsidRDefault="001B5202" w:rsidP="0065182C">
            <w:pPr>
              <w:rPr>
                <w:sz w:val="20"/>
                <w:szCs w:val="20"/>
              </w:rPr>
            </w:pPr>
            <w:r>
              <w:rPr>
                <w:sz w:val="20"/>
                <w:szCs w:val="20"/>
              </w:rPr>
              <w:t>Selenium hexafluoride</w:t>
            </w:r>
          </w:p>
        </w:tc>
        <w:tc>
          <w:tcPr>
            <w:tcW w:w="3117" w:type="dxa"/>
          </w:tcPr>
          <w:p w:rsidR="001B5202" w:rsidRDefault="001B5202" w:rsidP="0065182C">
            <w:pPr>
              <w:rPr>
                <w:sz w:val="20"/>
                <w:szCs w:val="20"/>
              </w:rPr>
            </w:pPr>
            <w:r>
              <w:rPr>
                <w:sz w:val="20"/>
                <w:szCs w:val="20"/>
              </w:rPr>
              <w:t>Silicon tetrafluoride</w:t>
            </w:r>
          </w:p>
        </w:tc>
        <w:tc>
          <w:tcPr>
            <w:tcW w:w="3117" w:type="dxa"/>
          </w:tcPr>
          <w:p w:rsidR="001B5202" w:rsidRDefault="001B5202" w:rsidP="0065182C">
            <w:pPr>
              <w:rPr>
                <w:sz w:val="20"/>
                <w:szCs w:val="20"/>
              </w:rPr>
            </w:pPr>
          </w:p>
        </w:tc>
      </w:tr>
      <w:tr w:rsidR="001B5202" w:rsidTr="001B5202">
        <w:tc>
          <w:tcPr>
            <w:tcW w:w="3116" w:type="dxa"/>
          </w:tcPr>
          <w:p w:rsidR="001B5202" w:rsidRDefault="001B5202" w:rsidP="0065182C">
            <w:pPr>
              <w:rPr>
                <w:sz w:val="20"/>
                <w:szCs w:val="20"/>
              </w:rPr>
            </w:pPr>
          </w:p>
        </w:tc>
        <w:tc>
          <w:tcPr>
            <w:tcW w:w="3117" w:type="dxa"/>
          </w:tcPr>
          <w:p w:rsidR="001B5202" w:rsidRDefault="001B5202" w:rsidP="0065182C">
            <w:pPr>
              <w:rPr>
                <w:sz w:val="20"/>
                <w:szCs w:val="20"/>
              </w:rPr>
            </w:pPr>
          </w:p>
        </w:tc>
        <w:tc>
          <w:tcPr>
            <w:tcW w:w="3117" w:type="dxa"/>
          </w:tcPr>
          <w:p w:rsidR="001B5202" w:rsidRDefault="001B5202" w:rsidP="0065182C">
            <w:pPr>
              <w:rPr>
                <w:sz w:val="20"/>
                <w:szCs w:val="20"/>
              </w:rPr>
            </w:pPr>
          </w:p>
        </w:tc>
      </w:tr>
      <w:tr w:rsidR="001B5202" w:rsidTr="001B5202">
        <w:tc>
          <w:tcPr>
            <w:tcW w:w="3116" w:type="dxa"/>
          </w:tcPr>
          <w:p w:rsidR="001B5202" w:rsidRPr="00A43844" w:rsidRDefault="001B5202" w:rsidP="0065182C">
            <w:pPr>
              <w:rPr>
                <w:b/>
                <w:sz w:val="20"/>
                <w:szCs w:val="20"/>
              </w:rPr>
            </w:pPr>
            <w:r w:rsidRPr="00A43844">
              <w:rPr>
                <w:b/>
                <w:sz w:val="20"/>
                <w:szCs w:val="20"/>
              </w:rPr>
              <w:t>Corrosive Gases</w:t>
            </w:r>
          </w:p>
        </w:tc>
        <w:tc>
          <w:tcPr>
            <w:tcW w:w="3117" w:type="dxa"/>
          </w:tcPr>
          <w:p w:rsidR="001B5202" w:rsidRDefault="001B5202" w:rsidP="0065182C">
            <w:pPr>
              <w:rPr>
                <w:sz w:val="20"/>
                <w:szCs w:val="20"/>
              </w:rPr>
            </w:pPr>
          </w:p>
        </w:tc>
        <w:tc>
          <w:tcPr>
            <w:tcW w:w="3117" w:type="dxa"/>
          </w:tcPr>
          <w:p w:rsidR="001B5202" w:rsidRDefault="001B5202" w:rsidP="0065182C">
            <w:pPr>
              <w:rPr>
                <w:sz w:val="20"/>
                <w:szCs w:val="20"/>
              </w:rPr>
            </w:pPr>
          </w:p>
        </w:tc>
      </w:tr>
      <w:tr w:rsidR="001B5202" w:rsidTr="001B5202">
        <w:tc>
          <w:tcPr>
            <w:tcW w:w="3116" w:type="dxa"/>
          </w:tcPr>
          <w:p w:rsidR="001B5202" w:rsidRDefault="001B5202" w:rsidP="0065182C">
            <w:pPr>
              <w:rPr>
                <w:sz w:val="20"/>
                <w:szCs w:val="20"/>
              </w:rPr>
            </w:pPr>
            <w:r>
              <w:rPr>
                <w:sz w:val="20"/>
                <w:szCs w:val="20"/>
              </w:rPr>
              <w:t>Ammonia</w:t>
            </w:r>
          </w:p>
        </w:tc>
        <w:tc>
          <w:tcPr>
            <w:tcW w:w="3117" w:type="dxa"/>
          </w:tcPr>
          <w:p w:rsidR="001B5202" w:rsidRDefault="001B5202" w:rsidP="0065182C">
            <w:pPr>
              <w:rPr>
                <w:sz w:val="20"/>
                <w:szCs w:val="20"/>
              </w:rPr>
            </w:pPr>
            <w:r>
              <w:rPr>
                <w:sz w:val="20"/>
                <w:szCs w:val="20"/>
              </w:rPr>
              <w:t>Chlorine</w:t>
            </w:r>
          </w:p>
        </w:tc>
        <w:tc>
          <w:tcPr>
            <w:tcW w:w="3117" w:type="dxa"/>
          </w:tcPr>
          <w:p w:rsidR="001B5202" w:rsidRDefault="001B5202" w:rsidP="0065182C">
            <w:pPr>
              <w:rPr>
                <w:sz w:val="20"/>
                <w:szCs w:val="20"/>
              </w:rPr>
            </w:pPr>
            <w:r>
              <w:rPr>
                <w:sz w:val="20"/>
                <w:szCs w:val="20"/>
              </w:rPr>
              <w:t>Hydrogen chloride</w:t>
            </w:r>
          </w:p>
        </w:tc>
      </w:tr>
      <w:tr w:rsidR="001B5202" w:rsidTr="001B5202">
        <w:tc>
          <w:tcPr>
            <w:tcW w:w="3116" w:type="dxa"/>
          </w:tcPr>
          <w:p w:rsidR="001B5202" w:rsidRDefault="001B5202" w:rsidP="0065182C">
            <w:pPr>
              <w:rPr>
                <w:sz w:val="20"/>
                <w:szCs w:val="20"/>
              </w:rPr>
            </w:pPr>
            <w:r>
              <w:rPr>
                <w:sz w:val="20"/>
                <w:szCs w:val="20"/>
              </w:rPr>
              <w:t>Methyl Amine</w:t>
            </w:r>
          </w:p>
        </w:tc>
        <w:tc>
          <w:tcPr>
            <w:tcW w:w="3117" w:type="dxa"/>
          </w:tcPr>
          <w:p w:rsidR="001B5202" w:rsidRDefault="001B5202" w:rsidP="0065182C">
            <w:pPr>
              <w:rPr>
                <w:sz w:val="20"/>
                <w:szCs w:val="20"/>
              </w:rPr>
            </w:pPr>
            <w:r>
              <w:rPr>
                <w:sz w:val="20"/>
                <w:szCs w:val="20"/>
              </w:rPr>
              <w:t>Sulphur Dioxide</w:t>
            </w:r>
          </w:p>
        </w:tc>
        <w:tc>
          <w:tcPr>
            <w:tcW w:w="3117" w:type="dxa"/>
          </w:tcPr>
          <w:p w:rsidR="001B5202" w:rsidRDefault="001B5202" w:rsidP="0065182C">
            <w:pPr>
              <w:rPr>
                <w:sz w:val="20"/>
                <w:szCs w:val="20"/>
              </w:rPr>
            </w:pPr>
          </w:p>
        </w:tc>
      </w:tr>
    </w:tbl>
    <w:p w:rsidR="001B5202" w:rsidRDefault="001B5202" w:rsidP="0065182C">
      <w:pPr>
        <w:rPr>
          <w:sz w:val="20"/>
          <w:szCs w:val="20"/>
        </w:rPr>
      </w:pPr>
    </w:p>
    <w:p w:rsidR="0065182C" w:rsidRDefault="0065182C" w:rsidP="0065182C">
      <w:pPr>
        <w:rPr>
          <w:rFonts w:ascii="Arial" w:hAnsi="Arial" w:cs="Arial"/>
          <w:sz w:val="20"/>
          <w:szCs w:val="20"/>
        </w:rPr>
      </w:pPr>
      <w:r w:rsidRPr="0057784E">
        <w:rPr>
          <w:rFonts w:ascii="Arial" w:hAnsi="Arial" w:cs="Arial"/>
          <w:b/>
          <w:sz w:val="24"/>
          <w:szCs w:val="24"/>
        </w:rPr>
        <w:t>Exposure Control</w:t>
      </w:r>
      <w:r w:rsidR="0057784E" w:rsidRPr="0057784E">
        <w:rPr>
          <w:rFonts w:ascii="Arial" w:hAnsi="Arial" w:cs="Arial"/>
          <w:sz w:val="24"/>
          <w:szCs w:val="24"/>
        </w:rPr>
        <w:t>:</w:t>
      </w:r>
      <w:r w:rsidR="0057784E">
        <w:rPr>
          <w:rFonts w:ascii="Arial" w:hAnsi="Arial" w:cs="Arial"/>
          <w:sz w:val="20"/>
          <w:szCs w:val="20"/>
        </w:rPr>
        <w:t xml:space="preserve"> refer to the SDS and the Ontario</w:t>
      </w:r>
      <w:r w:rsidR="00A43844">
        <w:rPr>
          <w:rFonts w:ascii="Arial" w:hAnsi="Arial" w:cs="Arial"/>
          <w:sz w:val="20"/>
          <w:szCs w:val="20"/>
        </w:rPr>
        <w:t xml:space="preserve"> OHS</w:t>
      </w:r>
      <w:r w:rsidR="0057784E">
        <w:rPr>
          <w:rFonts w:ascii="Arial" w:hAnsi="Arial" w:cs="Arial"/>
          <w:sz w:val="20"/>
          <w:szCs w:val="20"/>
        </w:rPr>
        <w:t xml:space="preserve"> Regulation 833 for specific gas exposure limits.</w:t>
      </w:r>
    </w:p>
    <w:p w:rsidR="0057784E" w:rsidRDefault="0057784E" w:rsidP="0065182C">
      <w:pPr>
        <w:rPr>
          <w:rFonts w:ascii="Arial" w:hAnsi="Arial" w:cs="Arial"/>
          <w:sz w:val="20"/>
          <w:szCs w:val="20"/>
        </w:rPr>
      </w:pPr>
    </w:p>
    <w:p w:rsidR="0057784E" w:rsidRDefault="0057784E" w:rsidP="0065182C">
      <w:pPr>
        <w:rPr>
          <w:rFonts w:ascii="Arial" w:hAnsi="Arial" w:cs="Arial"/>
          <w:b/>
          <w:sz w:val="24"/>
          <w:szCs w:val="24"/>
        </w:rPr>
      </w:pPr>
      <w:r w:rsidRPr="0057784E">
        <w:rPr>
          <w:rFonts w:ascii="Arial" w:hAnsi="Arial" w:cs="Arial"/>
          <w:b/>
          <w:sz w:val="24"/>
          <w:szCs w:val="24"/>
        </w:rPr>
        <w:t>Engineering Controls:</w:t>
      </w:r>
      <w:r>
        <w:rPr>
          <w:rFonts w:ascii="Arial" w:hAnsi="Arial" w:cs="Arial"/>
          <w:b/>
          <w:sz w:val="24"/>
          <w:szCs w:val="24"/>
        </w:rPr>
        <w:t xml:space="preserve"> </w:t>
      </w:r>
    </w:p>
    <w:p w:rsidR="001B5202" w:rsidRDefault="0057784E" w:rsidP="0057784E">
      <w:pPr>
        <w:pStyle w:val="Heading4"/>
        <w:rPr>
          <w:rFonts w:ascii="Arial" w:hAnsi="Arial" w:cs="Arial"/>
          <w:b w:val="0"/>
          <w:sz w:val="20"/>
          <w:szCs w:val="20"/>
        </w:rPr>
      </w:pPr>
      <w:r w:rsidRPr="0057784E">
        <w:rPr>
          <w:rFonts w:ascii="Arial" w:hAnsi="Arial" w:cs="Arial"/>
          <w:b w:val="0"/>
          <w:sz w:val="20"/>
          <w:szCs w:val="20"/>
        </w:rPr>
        <w:t xml:space="preserve">All components of a system connected to a compressed gas cylinder must be pressure-rated to withstand the maximum pressure capable of </w:t>
      </w:r>
      <w:proofErr w:type="gramStart"/>
      <w:r w:rsidRPr="0057784E">
        <w:rPr>
          <w:rFonts w:ascii="Arial" w:hAnsi="Arial" w:cs="Arial"/>
          <w:b w:val="0"/>
          <w:sz w:val="20"/>
          <w:szCs w:val="20"/>
        </w:rPr>
        <w:t>being delivered</w:t>
      </w:r>
      <w:proofErr w:type="gramEnd"/>
      <w:r w:rsidRPr="0057784E">
        <w:rPr>
          <w:rFonts w:ascii="Arial" w:hAnsi="Arial" w:cs="Arial"/>
          <w:b w:val="0"/>
          <w:sz w:val="20"/>
          <w:szCs w:val="20"/>
        </w:rPr>
        <w:t xml:space="preserve"> by the cylinder or the maximum output pressure of the regulator that is connected to the cylinder valve.</w:t>
      </w:r>
    </w:p>
    <w:p w:rsidR="0057784E" w:rsidRPr="0057784E" w:rsidRDefault="0057784E" w:rsidP="0057784E">
      <w:pPr>
        <w:pStyle w:val="Heading4"/>
        <w:rPr>
          <w:rFonts w:ascii="Arial" w:hAnsi="Arial" w:cs="Arial"/>
          <w:b w:val="0"/>
          <w:sz w:val="20"/>
          <w:szCs w:val="20"/>
        </w:rPr>
      </w:pPr>
      <w:r w:rsidRPr="0057784E">
        <w:rPr>
          <w:rFonts w:ascii="Arial" w:hAnsi="Arial" w:cs="Arial"/>
          <w:b w:val="0"/>
          <w:sz w:val="20"/>
          <w:szCs w:val="20"/>
        </w:rPr>
        <w:t xml:space="preserve"> Fume hood</w:t>
      </w:r>
    </w:p>
    <w:p w:rsidR="0057784E" w:rsidRPr="0057784E" w:rsidRDefault="0057784E" w:rsidP="0057784E">
      <w:pPr>
        <w:pStyle w:val="NormalWeb"/>
        <w:rPr>
          <w:rFonts w:ascii="Arial" w:hAnsi="Arial" w:cs="Arial"/>
          <w:sz w:val="20"/>
          <w:szCs w:val="20"/>
        </w:rPr>
      </w:pPr>
      <w:r w:rsidRPr="0057784E">
        <w:rPr>
          <w:rFonts w:ascii="Arial" w:hAnsi="Arial" w:cs="Arial"/>
          <w:sz w:val="20"/>
          <w:szCs w:val="20"/>
        </w:rPr>
        <w:t xml:space="preserve">Work with hazardous gases </w:t>
      </w:r>
      <w:proofErr w:type="gramStart"/>
      <w:r w:rsidRPr="0057784E">
        <w:rPr>
          <w:rFonts w:ascii="Arial" w:hAnsi="Arial" w:cs="Arial"/>
          <w:sz w:val="20"/>
          <w:szCs w:val="20"/>
        </w:rPr>
        <w:t>must be performed</w:t>
      </w:r>
      <w:proofErr w:type="gramEnd"/>
      <w:r w:rsidRPr="0057784E">
        <w:rPr>
          <w:rFonts w:ascii="Arial" w:hAnsi="Arial" w:cs="Arial"/>
          <w:sz w:val="20"/>
          <w:szCs w:val="20"/>
        </w:rPr>
        <w:t xml:space="preserve"> inside of a fume hood or with another means of dedicated exhaust that has b</w:t>
      </w:r>
      <w:r w:rsidR="001B5202">
        <w:rPr>
          <w:rFonts w:ascii="Arial" w:hAnsi="Arial" w:cs="Arial"/>
          <w:sz w:val="20"/>
          <w:szCs w:val="20"/>
        </w:rPr>
        <w:t>een reviewed and approved by Risk Management</w:t>
      </w:r>
      <w:r w:rsidRPr="0057784E">
        <w:rPr>
          <w:rFonts w:ascii="Arial" w:hAnsi="Arial" w:cs="Arial"/>
          <w:sz w:val="20"/>
          <w:szCs w:val="20"/>
        </w:rPr>
        <w:t>. </w:t>
      </w:r>
    </w:p>
    <w:p w:rsidR="0057784E" w:rsidRPr="0057784E" w:rsidRDefault="0057784E" w:rsidP="0057784E">
      <w:pPr>
        <w:pStyle w:val="Heading4"/>
        <w:rPr>
          <w:rFonts w:ascii="Arial" w:hAnsi="Arial" w:cs="Arial"/>
          <w:sz w:val="20"/>
          <w:szCs w:val="20"/>
        </w:rPr>
      </w:pPr>
      <w:r w:rsidRPr="0057784E">
        <w:rPr>
          <w:rFonts w:ascii="Arial" w:hAnsi="Arial" w:cs="Arial"/>
          <w:sz w:val="20"/>
          <w:szCs w:val="20"/>
        </w:rPr>
        <w:t>Safety shielding</w:t>
      </w:r>
    </w:p>
    <w:p w:rsidR="0057784E" w:rsidRPr="0057784E" w:rsidRDefault="0057784E" w:rsidP="0057784E">
      <w:pPr>
        <w:pStyle w:val="NormalWeb"/>
        <w:rPr>
          <w:rFonts w:ascii="Arial" w:hAnsi="Arial" w:cs="Arial"/>
          <w:sz w:val="20"/>
          <w:szCs w:val="20"/>
        </w:rPr>
      </w:pPr>
      <w:r w:rsidRPr="0057784E">
        <w:rPr>
          <w:rFonts w:ascii="Arial" w:hAnsi="Arial" w:cs="Arial"/>
          <w:sz w:val="20"/>
          <w:szCs w:val="20"/>
        </w:rPr>
        <w:t xml:space="preserve">Safety shielding is required any time there is a risk of explosion, splash hazard or a highly exothermic reaction. All manipulations of hazardous </w:t>
      </w:r>
      <w:proofErr w:type="gramStart"/>
      <w:r w:rsidRPr="0057784E">
        <w:rPr>
          <w:rFonts w:ascii="Arial" w:hAnsi="Arial" w:cs="Arial"/>
          <w:sz w:val="20"/>
          <w:szCs w:val="20"/>
        </w:rPr>
        <w:t>gases which pose this risk</w:t>
      </w:r>
      <w:proofErr w:type="gramEnd"/>
      <w:r w:rsidRPr="0057784E">
        <w:rPr>
          <w:rFonts w:ascii="Arial" w:hAnsi="Arial" w:cs="Arial"/>
          <w:sz w:val="20"/>
          <w:szCs w:val="20"/>
        </w:rPr>
        <w:t xml:space="preserve"> should occur in a fume hood with the sash in the lowest feasible position. </w:t>
      </w:r>
    </w:p>
    <w:p w:rsidR="0057784E" w:rsidRPr="0057784E" w:rsidRDefault="0057784E" w:rsidP="0057784E">
      <w:pPr>
        <w:pStyle w:val="Heading4"/>
        <w:rPr>
          <w:rFonts w:ascii="Arial" w:hAnsi="Arial" w:cs="Arial"/>
          <w:sz w:val="20"/>
          <w:szCs w:val="20"/>
        </w:rPr>
      </w:pPr>
      <w:r w:rsidRPr="0057784E">
        <w:rPr>
          <w:rFonts w:ascii="Arial" w:hAnsi="Arial" w:cs="Arial"/>
          <w:sz w:val="20"/>
          <w:szCs w:val="20"/>
        </w:rPr>
        <w:lastRenderedPageBreak/>
        <w:t>Glove (dry) box</w:t>
      </w:r>
    </w:p>
    <w:p w:rsidR="0057784E" w:rsidRDefault="0057784E" w:rsidP="0057784E">
      <w:pPr>
        <w:pStyle w:val="NormalWeb"/>
        <w:rPr>
          <w:rFonts w:ascii="Arial" w:hAnsi="Arial" w:cs="Arial"/>
          <w:sz w:val="20"/>
          <w:szCs w:val="20"/>
        </w:rPr>
      </w:pPr>
      <w:r w:rsidRPr="0057784E">
        <w:rPr>
          <w:rFonts w:ascii="Arial" w:hAnsi="Arial" w:cs="Arial"/>
          <w:sz w:val="20"/>
          <w:szCs w:val="20"/>
        </w:rPr>
        <w:t xml:space="preserve">Some processes involving acutely toxic gases </w:t>
      </w:r>
      <w:proofErr w:type="gramStart"/>
      <w:r w:rsidRPr="0057784E">
        <w:rPr>
          <w:rFonts w:ascii="Arial" w:hAnsi="Arial" w:cs="Arial"/>
          <w:sz w:val="20"/>
          <w:szCs w:val="20"/>
        </w:rPr>
        <w:t>may be performed</w:t>
      </w:r>
      <w:proofErr w:type="gramEnd"/>
      <w:r w:rsidRPr="0057784E">
        <w:rPr>
          <w:rFonts w:ascii="Arial" w:hAnsi="Arial" w:cs="Arial"/>
          <w:sz w:val="20"/>
          <w:szCs w:val="20"/>
        </w:rPr>
        <w:t xml:space="preserve"> in a properly vented glove box rather than a fume hood.</w:t>
      </w:r>
    </w:p>
    <w:p w:rsidR="0057784E" w:rsidRPr="0057784E" w:rsidRDefault="0057784E" w:rsidP="0057784E">
      <w:pPr>
        <w:pStyle w:val="Heading4"/>
        <w:rPr>
          <w:rFonts w:ascii="Arial" w:hAnsi="Arial" w:cs="Arial"/>
          <w:sz w:val="20"/>
          <w:szCs w:val="20"/>
        </w:rPr>
      </w:pPr>
      <w:r w:rsidRPr="0057784E">
        <w:rPr>
          <w:rFonts w:ascii="Arial" w:hAnsi="Arial" w:cs="Arial"/>
          <w:sz w:val="20"/>
          <w:szCs w:val="20"/>
        </w:rPr>
        <w:t>Gas Alarms</w:t>
      </w:r>
    </w:p>
    <w:p w:rsidR="0057784E" w:rsidRDefault="0057784E" w:rsidP="0057784E">
      <w:pPr>
        <w:pStyle w:val="NormalWeb"/>
        <w:rPr>
          <w:rFonts w:ascii="Arial" w:hAnsi="Arial" w:cs="Arial"/>
          <w:sz w:val="20"/>
          <w:szCs w:val="20"/>
        </w:rPr>
      </w:pPr>
      <w:r w:rsidRPr="0057784E">
        <w:rPr>
          <w:rFonts w:ascii="Arial" w:hAnsi="Arial" w:cs="Arial"/>
          <w:sz w:val="20"/>
          <w:szCs w:val="20"/>
        </w:rPr>
        <w:t xml:space="preserve">Continuous-monitoring gas alarm systems are required for some hazardous gases. The EHS officer will assess the need for gas monitoring as part of the hazard assessment that </w:t>
      </w:r>
      <w:proofErr w:type="gramStart"/>
      <w:r w:rsidRPr="0057784E">
        <w:rPr>
          <w:rFonts w:ascii="Arial" w:hAnsi="Arial" w:cs="Arial"/>
          <w:sz w:val="20"/>
          <w:szCs w:val="20"/>
        </w:rPr>
        <w:t>will be done</w:t>
      </w:r>
      <w:proofErr w:type="gramEnd"/>
      <w:r w:rsidRPr="0057784E">
        <w:rPr>
          <w:rFonts w:ascii="Arial" w:hAnsi="Arial" w:cs="Arial"/>
          <w:sz w:val="20"/>
          <w:szCs w:val="20"/>
        </w:rPr>
        <w:t xml:space="preserve"> before approving use of the hazardous gas.</w:t>
      </w:r>
    </w:p>
    <w:p w:rsidR="0057784E" w:rsidRDefault="0057784E" w:rsidP="0057784E">
      <w:pPr>
        <w:pStyle w:val="Heading4"/>
      </w:pPr>
      <w:r>
        <w:t>Leak testing</w:t>
      </w:r>
      <w:r>
        <w:rPr>
          <w:rStyle w:val="Emphasis"/>
        </w:rPr>
        <w:t> </w:t>
      </w:r>
    </w:p>
    <w:p w:rsidR="0057784E" w:rsidRDefault="0057784E" w:rsidP="0057784E">
      <w:pPr>
        <w:pStyle w:val="NormalWeb"/>
      </w:pPr>
      <w:r>
        <w:t>Hazardous gas systems must be leak tested using inert gas and leak detection solutions such as Snoop(TM) before use.</w:t>
      </w:r>
    </w:p>
    <w:p w:rsidR="0057784E" w:rsidRPr="0057784E" w:rsidRDefault="0057784E" w:rsidP="0057784E">
      <w:pPr>
        <w:pStyle w:val="Heading4"/>
        <w:rPr>
          <w:rFonts w:ascii="Arial" w:hAnsi="Arial" w:cs="Arial"/>
          <w:sz w:val="20"/>
          <w:szCs w:val="20"/>
        </w:rPr>
      </w:pPr>
      <w:r w:rsidRPr="0057784E">
        <w:rPr>
          <w:rFonts w:ascii="Arial" w:hAnsi="Arial" w:cs="Arial"/>
          <w:sz w:val="20"/>
          <w:szCs w:val="20"/>
        </w:rPr>
        <w:t>Gas trapping and Scrubbing</w:t>
      </w:r>
    </w:p>
    <w:p w:rsidR="0057784E" w:rsidRPr="0057784E" w:rsidRDefault="0057784E" w:rsidP="0057784E">
      <w:pPr>
        <w:pStyle w:val="NormalWeb"/>
        <w:rPr>
          <w:rFonts w:ascii="Arial" w:hAnsi="Arial" w:cs="Arial"/>
          <w:sz w:val="20"/>
          <w:szCs w:val="20"/>
        </w:rPr>
      </w:pPr>
      <w:r w:rsidRPr="0057784E">
        <w:rPr>
          <w:rFonts w:ascii="Arial" w:hAnsi="Arial" w:cs="Arial"/>
          <w:sz w:val="20"/>
          <w:szCs w:val="20"/>
        </w:rPr>
        <w:t xml:space="preserve">To prevent environmental pollution and damage to equipment it may be necessary to trap and or scrub exhaust from </w:t>
      </w:r>
      <w:proofErr w:type="gramStart"/>
      <w:r w:rsidRPr="0057784E">
        <w:rPr>
          <w:rFonts w:ascii="Arial" w:hAnsi="Arial" w:cs="Arial"/>
          <w:sz w:val="20"/>
          <w:szCs w:val="20"/>
        </w:rPr>
        <w:t>processes which</w:t>
      </w:r>
      <w:proofErr w:type="gramEnd"/>
      <w:r w:rsidRPr="0057784E">
        <w:rPr>
          <w:rFonts w:ascii="Arial" w:hAnsi="Arial" w:cs="Arial"/>
          <w:sz w:val="20"/>
          <w:szCs w:val="20"/>
        </w:rPr>
        <w:t xml:space="preserve"> utilize corrosive gases even when working</w:t>
      </w:r>
      <w:r>
        <w:rPr>
          <w:rFonts w:ascii="Arial" w:hAnsi="Arial" w:cs="Arial"/>
          <w:sz w:val="20"/>
          <w:szCs w:val="20"/>
        </w:rPr>
        <w:t xml:space="preserve"> in the fume hood.  Contact EHS</w:t>
      </w:r>
      <w:r w:rsidRPr="0057784E">
        <w:rPr>
          <w:rFonts w:ascii="Arial" w:hAnsi="Arial" w:cs="Arial"/>
          <w:sz w:val="20"/>
          <w:szCs w:val="20"/>
        </w:rPr>
        <w:t xml:space="preserve"> for assistance with design and set-up of gas neutralization processes.</w:t>
      </w:r>
    </w:p>
    <w:p w:rsidR="0057784E" w:rsidRDefault="0057784E" w:rsidP="0057784E">
      <w:pPr>
        <w:pStyle w:val="NormalWeb"/>
        <w:rPr>
          <w:rFonts w:ascii="Arial" w:hAnsi="Arial" w:cs="Arial"/>
          <w:sz w:val="20"/>
          <w:szCs w:val="20"/>
        </w:rPr>
      </w:pPr>
      <w:r w:rsidRPr="0057784E">
        <w:rPr>
          <w:rFonts w:ascii="Arial" w:hAnsi="Arial" w:cs="Arial"/>
          <w:sz w:val="20"/>
          <w:szCs w:val="20"/>
        </w:rPr>
        <w:t xml:space="preserve">When corrosive gases are to </w:t>
      </w:r>
      <w:proofErr w:type="gramStart"/>
      <w:r w:rsidRPr="0057784E">
        <w:rPr>
          <w:rFonts w:ascii="Arial" w:hAnsi="Arial" w:cs="Arial"/>
          <w:sz w:val="20"/>
          <w:szCs w:val="20"/>
        </w:rPr>
        <w:t>be discharged</w:t>
      </w:r>
      <w:proofErr w:type="gramEnd"/>
      <w:r w:rsidRPr="0057784E">
        <w:rPr>
          <w:rFonts w:ascii="Arial" w:hAnsi="Arial" w:cs="Arial"/>
          <w:sz w:val="20"/>
          <w:szCs w:val="20"/>
        </w:rPr>
        <w:t xml:space="preserve"> into a liquid, a trap, check valve, or vacuum break device must be employed to prevent dangerous reverse flow.</w:t>
      </w:r>
    </w:p>
    <w:p w:rsidR="0057784E" w:rsidRPr="0057784E" w:rsidRDefault="0057784E" w:rsidP="0057784E">
      <w:pPr>
        <w:pStyle w:val="Heading4"/>
        <w:rPr>
          <w:rFonts w:ascii="Arial" w:hAnsi="Arial" w:cs="Arial"/>
          <w:sz w:val="20"/>
          <w:szCs w:val="20"/>
        </w:rPr>
      </w:pPr>
      <w:r w:rsidRPr="0057784E">
        <w:rPr>
          <w:rFonts w:ascii="Arial" w:hAnsi="Arial" w:cs="Arial"/>
          <w:sz w:val="20"/>
          <w:szCs w:val="20"/>
        </w:rPr>
        <w:t>Purging</w:t>
      </w:r>
    </w:p>
    <w:p w:rsidR="0057784E" w:rsidRPr="0057784E" w:rsidRDefault="0057784E" w:rsidP="0057784E">
      <w:pPr>
        <w:pStyle w:val="NormalWeb"/>
        <w:rPr>
          <w:rFonts w:ascii="Arial" w:hAnsi="Arial" w:cs="Arial"/>
          <w:sz w:val="20"/>
          <w:szCs w:val="20"/>
        </w:rPr>
      </w:pPr>
      <w:r w:rsidRPr="0057784E">
        <w:rPr>
          <w:rFonts w:ascii="Arial" w:hAnsi="Arial" w:cs="Arial"/>
          <w:sz w:val="20"/>
          <w:szCs w:val="20"/>
        </w:rPr>
        <w:t xml:space="preserve">Regulators and valves </w:t>
      </w:r>
      <w:proofErr w:type="gramStart"/>
      <w:r w:rsidRPr="0057784E">
        <w:rPr>
          <w:rFonts w:ascii="Arial" w:hAnsi="Arial" w:cs="Arial"/>
          <w:sz w:val="20"/>
          <w:szCs w:val="20"/>
        </w:rPr>
        <w:t>must be closed when the cylinder is not in use and flushed with dry air or nitrogen after use</w:t>
      </w:r>
      <w:proofErr w:type="gramEnd"/>
      <w:r w:rsidRPr="0057784E">
        <w:rPr>
          <w:rFonts w:ascii="Arial" w:hAnsi="Arial" w:cs="Arial"/>
          <w:sz w:val="20"/>
          <w:szCs w:val="20"/>
        </w:rPr>
        <w:t>.</w:t>
      </w:r>
    </w:p>
    <w:p w:rsidR="0057784E" w:rsidRDefault="0057784E" w:rsidP="0057784E">
      <w:pPr>
        <w:pStyle w:val="NormalWeb"/>
      </w:pPr>
      <w:r w:rsidRPr="0057784E">
        <w:rPr>
          <w:rFonts w:ascii="Arial" w:hAnsi="Arial" w:cs="Arial"/>
          <w:sz w:val="20"/>
          <w:szCs w:val="20"/>
        </w:rPr>
        <w:t xml:space="preserve">All piping and tubing </w:t>
      </w:r>
      <w:proofErr w:type="gramStart"/>
      <w:r w:rsidRPr="0057784E">
        <w:rPr>
          <w:rFonts w:ascii="Arial" w:hAnsi="Arial" w:cs="Arial"/>
          <w:sz w:val="20"/>
          <w:szCs w:val="20"/>
        </w:rPr>
        <w:t>must be flushed</w:t>
      </w:r>
      <w:proofErr w:type="gramEnd"/>
      <w:r w:rsidRPr="0057784E">
        <w:rPr>
          <w:rFonts w:ascii="Arial" w:hAnsi="Arial" w:cs="Arial"/>
          <w:sz w:val="20"/>
          <w:szCs w:val="20"/>
        </w:rPr>
        <w:t xml:space="preserve"> with inert gas after process is complete and before opening any component of the system to ambient air.</w:t>
      </w:r>
    </w:p>
    <w:p w:rsidR="0065182C" w:rsidRDefault="0065182C" w:rsidP="0065182C">
      <w:pPr>
        <w:rPr>
          <w:rFonts w:ascii="Arial" w:hAnsi="Arial" w:cs="Arial"/>
          <w:b/>
          <w:sz w:val="20"/>
          <w:szCs w:val="20"/>
        </w:rPr>
      </w:pPr>
      <w:r w:rsidRPr="0065182C">
        <w:rPr>
          <w:rFonts w:ascii="Arial" w:hAnsi="Arial" w:cs="Arial"/>
          <w:b/>
          <w:sz w:val="20"/>
          <w:szCs w:val="20"/>
        </w:rPr>
        <w:t>Personal Protective Equipment</w:t>
      </w:r>
      <w:r>
        <w:rPr>
          <w:rFonts w:ascii="Arial" w:hAnsi="Arial" w:cs="Arial"/>
          <w:b/>
          <w:sz w:val="20"/>
          <w:szCs w:val="20"/>
        </w:rPr>
        <w:t>:</w:t>
      </w:r>
    </w:p>
    <w:p w:rsidR="0065182C" w:rsidRPr="00A82A1C" w:rsidRDefault="0065182C" w:rsidP="0065182C">
      <w:pPr>
        <w:rPr>
          <w:rFonts w:ascii="Arial" w:hAnsi="Arial" w:cs="Arial"/>
          <w:sz w:val="20"/>
          <w:szCs w:val="20"/>
        </w:rPr>
      </w:pPr>
      <w:r>
        <w:rPr>
          <w:rFonts w:ascii="Arial" w:hAnsi="Arial" w:cs="Arial"/>
          <w:b/>
          <w:sz w:val="20"/>
          <w:szCs w:val="20"/>
        </w:rPr>
        <w:tab/>
        <w:t>Eye protection</w:t>
      </w:r>
      <w:r w:rsidR="00A82A1C">
        <w:rPr>
          <w:rFonts w:ascii="Arial" w:hAnsi="Arial" w:cs="Arial"/>
          <w:b/>
          <w:sz w:val="20"/>
          <w:szCs w:val="20"/>
        </w:rPr>
        <w:t xml:space="preserve">: </w:t>
      </w:r>
      <w:r w:rsidR="00A82A1C">
        <w:rPr>
          <w:rFonts w:ascii="Arial" w:hAnsi="Arial" w:cs="Arial"/>
          <w:sz w:val="20"/>
          <w:szCs w:val="20"/>
        </w:rPr>
        <w:t>refer to the chemical specific SDS</w:t>
      </w:r>
    </w:p>
    <w:p w:rsidR="0065182C" w:rsidRDefault="0065182C" w:rsidP="0065182C">
      <w:pPr>
        <w:rPr>
          <w:rFonts w:ascii="Arial" w:hAnsi="Arial" w:cs="Arial"/>
          <w:b/>
          <w:sz w:val="20"/>
          <w:szCs w:val="20"/>
        </w:rPr>
      </w:pPr>
      <w:r>
        <w:rPr>
          <w:rFonts w:ascii="Arial" w:hAnsi="Arial" w:cs="Arial"/>
          <w:b/>
          <w:sz w:val="20"/>
          <w:szCs w:val="20"/>
        </w:rPr>
        <w:tab/>
        <w:t>Skin protection</w:t>
      </w:r>
      <w:r w:rsidR="00A82A1C">
        <w:rPr>
          <w:rFonts w:ascii="Arial" w:hAnsi="Arial" w:cs="Arial"/>
          <w:b/>
          <w:sz w:val="20"/>
          <w:szCs w:val="20"/>
        </w:rPr>
        <w:t>:</w:t>
      </w:r>
      <w:r w:rsidR="00A82A1C" w:rsidRPr="00A82A1C">
        <w:rPr>
          <w:rFonts w:ascii="Arial" w:hAnsi="Arial" w:cs="Arial"/>
          <w:sz w:val="20"/>
          <w:szCs w:val="20"/>
        </w:rPr>
        <w:t xml:space="preserve"> </w:t>
      </w:r>
      <w:r w:rsidR="00A82A1C">
        <w:rPr>
          <w:rFonts w:ascii="Arial" w:hAnsi="Arial" w:cs="Arial"/>
          <w:sz w:val="20"/>
          <w:szCs w:val="20"/>
        </w:rPr>
        <w:t>refer to the chemical specific SDS</w:t>
      </w:r>
      <w:r>
        <w:rPr>
          <w:rFonts w:ascii="Arial" w:hAnsi="Arial" w:cs="Arial"/>
          <w:b/>
          <w:sz w:val="20"/>
          <w:szCs w:val="20"/>
        </w:rPr>
        <w:tab/>
      </w:r>
    </w:p>
    <w:p w:rsidR="0065182C" w:rsidRDefault="0065182C" w:rsidP="0065182C">
      <w:pPr>
        <w:rPr>
          <w:rFonts w:ascii="Arial" w:hAnsi="Arial" w:cs="Arial"/>
          <w:b/>
          <w:sz w:val="20"/>
          <w:szCs w:val="20"/>
        </w:rPr>
      </w:pPr>
      <w:r>
        <w:rPr>
          <w:rFonts w:ascii="Arial" w:hAnsi="Arial" w:cs="Arial"/>
          <w:b/>
          <w:sz w:val="20"/>
          <w:szCs w:val="20"/>
        </w:rPr>
        <w:tab/>
        <w:t>Respiratory protection</w:t>
      </w:r>
      <w:r w:rsidR="00A82A1C">
        <w:rPr>
          <w:rFonts w:ascii="Arial" w:hAnsi="Arial" w:cs="Arial"/>
          <w:b/>
          <w:sz w:val="20"/>
          <w:szCs w:val="20"/>
        </w:rPr>
        <w:t xml:space="preserve">: </w:t>
      </w:r>
      <w:r w:rsidR="00A82A1C">
        <w:rPr>
          <w:rFonts w:ascii="Arial" w:hAnsi="Arial" w:cs="Arial"/>
          <w:sz w:val="20"/>
          <w:szCs w:val="20"/>
        </w:rPr>
        <w:t>refer to the chemical specific SDS</w:t>
      </w:r>
    </w:p>
    <w:p w:rsidR="0065182C" w:rsidRDefault="0065182C" w:rsidP="0065182C">
      <w:pPr>
        <w:rPr>
          <w:rFonts w:ascii="Arial" w:hAnsi="Arial" w:cs="Arial"/>
          <w:b/>
          <w:sz w:val="20"/>
          <w:szCs w:val="20"/>
        </w:rPr>
      </w:pPr>
    </w:p>
    <w:p w:rsidR="0065182C" w:rsidRDefault="0065182C" w:rsidP="0065182C">
      <w:pPr>
        <w:rPr>
          <w:rFonts w:ascii="Arial" w:hAnsi="Arial" w:cs="Arial"/>
          <w:b/>
          <w:sz w:val="20"/>
          <w:szCs w:val="20"/>
        </w:rPr>
      </w:pPr>
      <w:r>
        <w:rPr>
          <w:rFonts w:ascii="Arial" w:hAnsi="Arial" w:cs="Arial"/>
          <w:b/>
          <w:sz w:val="20"/>
          <w:szCs w:val="20"/>
        </w:rPr>
        <w:t>Handling Procedures</w:t>
      </w:r>
      <w:r w:rsidR="001B5202">
        <w:rPr>
          <w:rFonts w:ascii="Arial" w:hAnsi="Arial" w:cs="Arial"/>
          <w:b/>
          <w:sz w:val="20"/>
          <w:szCs w:val="20"/>
        </w:rPr>
        <w:t>:</w:t>
      </w:r>
    </w:p>
    <w:p w:rsidR="001B5202" w:rsidRDefault="001B5202" w:rsidP="0065182C">
      <w:r>
        <w:t>Proper storage and transport of</w:t>
      </w:r>
      <w:r>
        <w:rPr>
          <w:rStyle w:val="Strong"/>
        </w:rPr>
        <w:t> compressed gases</w:t>
      </w:r>
      <w:r>
        <w:t> must be determined by assessing all of the hazards and physical properties of the chemical. </w:t>
      </w:r>
      <w:r w:rsidR="007500DF">
        <w:t xml:space="preserve">General Storage and Transport guidance for compressed gases is given in Compressed Gases and </w:t>
      </w:r>
      <w:proofErr w:type="spellStart"/>
      <w:r w:rsidR="007500DF">
        <w:t>Cyrogenic</w:t>
      </w:r>
      <w:proofErr w:type="spellEnd"/>
      <w:r w:rsidR="007500DF">
        <w:t xml:space="preserve"> Liquids </w:t>
      </w:r>
      <w:proofErr w:type="gramStart"/>
      <w:r w:rsidR="007500DF">
        <w:t>section  of</w:t>
      </w:r>
      <w:proofErr w:type="gramEnd"/>
      <w:r w:rsidR="007500DF">
        <w:t xml:space="preserve"> the Science Safety Program.  All requirements for storage, transport, and securing of gas cylinders apply to hazardous gases.</w:t>
      </w:r>
    </w:p>
    <w:p w:rsidR="007500DF" w:rsidRPr="007500DF" w:rsidRDefault="007500DF" w:rsidP="007500DF">
      <w:pPr>
        <w:pStyle w:val="Heading3"/>
        <w:rPr>
          <w:rFonts w:ascii="Arial" w:hAnsi="Arial" w:cs="Arial"/>
          <w:b w:val="0"/>
          <w:sz w:val="20"/>
          <w:szCs w:val="20"/>
        </w:rPr>
      </w:pPr>
      <w:r w:rsidRPr="007500DF">
        <w:rPr>
          <w:rFonts w:ascii="Arial" w:hAnsi="Arial" w:cs="Arial"/>
          <w:b w:val="0"/>
          <w:sz w:val="20"/>
          <w:szCs w:val="20"/>
        </w:rPr>
        <w:t>Gas Storage Cabinets</w:t>
      </w:r>
    </w:p>
    <w:p w:rsidR="007500DF" w:rsidRDefault="007500DF" w:rsidP="007500DF">
      <w:pPr>
        <w:pStyle w:val="NormalWeb"/>
      </w:pPr>
      <w:r>
        <w:rPr>
          <w:rFonts w:ascii="Arial" w:hAnsi="Arial" w:cs="Arial"/>
          <w:sz w:val="20"/>
          <w:szCs w:val="20"/>
        </w:rPr>
        <w:lastRenderedPageBreak/>
        <w:t>Risk Management</w:t>
      </w:r>
      <w:r w:rsidRPr="007500DF">
        <w:rPr>
          <w:rFonts w:ascii="Arial" w:hAnsi="Arial" w:cs="Arial"/>
          <w:sz w:val="20"/>
          <w:szCs w:val="20"/>
        </w:rPr>
        <w:t xml:space="preserve"> will determine the need for ventilated gas storage cabinets based on the gas quantity, gas hazards, and location.</w:t>
      </w:r>
      <w:r>
        <w:t>  </w:t>
      </w:r>
    </w:p>
    <w:p w:rsidR="0065182C" w:rsidRPr="00A43844" w:rsidRDefault="0065182C" w:rsidP="0065182C">
      <w:pPr>
        <w:rPr>
          <w:rFonts w:ascii="Arial" w:hAnsi="Arial" w:cs="Arial"/>
          <w:b/>
          <w:sz w:val="24"/>
          <w:szCs w:val="24"/>
        </w:rPr>
      </w:pPr>
      <w:r w:rsidRPr="00A43844">
        <w:rPr>
          <w:rFonts w:ascii="Arial" w:hAnsi="Arial" w:cs="Arial"/>
          <w:b/>
          <w:sz w:val="24"/>
          <w:szCs w:val="24"/>
        </w:rPr>
        <w:t>Emergency Response</w:t>
      </w:r>
      <w:r w:rsidR="00A43844" w:rsidRPr="00A43844">
        <w:rPr>
          <w:rFonts w:ascii="Arial" w:hAnsi="Arial" w:cs="Arial"/>
          <w:b/>
          <w:sz w:val="24"/>
          <w:szCs w:val="24"/>
        </w:rPr>
        <w:t>:</w:t>
      </w:r>
    </w:p>
    <w:p w:rsidR="00A43844" w:rsidRPr="00A43844" w:rsidRDefault="00A43844" w:rsidP="00A43844">
      <w:pPr>
        <w:spacing w:before="100" w:beforeAutospacing="1" w:after="100" w:afterAutospacing="1" w:line="240" w:lineRule="auto"/>
        <w:outlineLvl w:val="2"/>
        <w:rPr>
          <w:rFonts w:ascii="Arial" w:eastAsia="Times New Roman" w:hAnsi="Arial" w:cs="Arial"/>
          <w:b/>
          <w:bCs/>
          <w:sz w:val="20"/>
          <w:szCs w:val="20"/>
        </w:rPr>
      </w:pPr>
      <w:r w:rsidRPr="00A43844">
        <w:rPr>
          <w:rFonts w:ascii="Arial" w:eastAsia="Times New Roman" w:hAnsi="Arial" w:cs="Arial"/>
          <w:b/>
          <w:bCs/>
          <w:sz w:val="20"/>
          <w:szCs w:val="20"/>
        </w:rPr>
        <w:t>Gas Leaks</w:t>
      </w:r>
    </w:p>
    <w:p w:rsidR="00A43844" w:rsidRPr="00A43844" w:rsidRDefault="00A43844" w:rsidP="00A43844">
      <w:p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If you observe or suspect that hazardous or inert gas is leaking:</w:t>
      </w:r>
    </w:p>
    <w:p w:rsidR="00A43844" w:rsidRPr="00A43844" w:rsidRDefault="00A43844" w:rsidP="00A43844">
      <w:pPr>
        <w:numPr>
          <w:ilvl w:val="0"/>
          <w:numId w:val="5"/>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Attempt to turn off the cylinder at the cylinder valve if it is safe to do so</w:t>
      </w:r>
    </w:p>
    <w:p w:rsidR="00A43844" w:rsidRPr="00A43844" w:rsidRDefault="00A43844" w:rsidP="00A43844">
      <w:pPr>
        <w:numPr>
          <w:ilvl w:val="0"/>
          <w:numId w:val="5"/>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If you are unable to turn off the gas or have any doubts, evacuate the area and contact EHRS immediately</w:t>
      </w:r>
    </w:p>
    <w:p w:rsidR="00A43844" w:rsidRPr="00A43844" w:rsidRDefault="00A43844" w:rsidP="00A43844">
      <w:pPr>
        <w:numPr>
          <w:ilvl w:val="0"/>
          <w:numId w:val="5"/>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Prevent others from entering the area of the suspected gas leak until responders arrive</w:t>
      </w:r>
    </w:p>
    <w:p w:rsidR="00A43844" w:rsidRPr="00A43844" w:rsidRDefault="00A82A1C" w:rsidP="00A43844">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Do not hesitate to call Campus Security</w:t>
      </w:r>
      <w:r w:rsidR="00A43844" w:rsidRPr="00A82A1C">
        <w:rPr>
          <w:rFonts w:ascii="Arial" w:eastAsia="Times New Roman" w:hAnsi="Arial" w:cs="Arial"/>
          <w:b/>
          <w:bCs/>
          <w:sz w:val="20"/>
          <w:szCs w:val="20"/>
        </w:rPr>
        <w:t xml:space="preserve"> for assistance with compressed gas leaks or exposure concerns</w:t>
      </w:r>
      <w:r>
        <w:rPr>
          <w:rFonts w:ascii="Arial" w:eastAsia="Times New Roman" w:hAnsi="Arial" w:cs="Arial"/>
          <w:sz w:val="20"/>
          <w:szCs w:val="20"/>
        </w:rPr>
        <w:t>.  705 748-1333</w:t>
      </w:r>
    </w:p>
    <w:p w:rsidR="00A43844" w:rsidRPr="00A43844" w:rsidRDefault="00A82A1C" w:rsidP="00A4384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Contact Emergency services (911) </w:t>
      </w:r>
      <w:r w:rsidR="00A43844" w:rsidRPr="00A43844">
        <w:rPr>
          <w:rFonts w:ascii="Arial" w:eastAsia="Times New Roman" w:hAnsi="Arial" w:cs="Arial"/>
          <w:sz w:val="20"/>
          <w:szCs w:val="20"/>
        </w:rPr>
        <w:t xml:space="preserve">only if the leak involves a fire, imminent risk of fire, </w:t>
      </w:r>
      <w:proofErr w:type="gramStart"/>
      <w:r w:rsidR="00A43844" w:rsidRPr="00A43844">
        <w:rPr>
          <w:rFonts w:ascii="Arial" w:eastAsia="Times New Roman" w:hAnsi="Arial" w:cs="Arial"/>
          <w:sz w:val="20"/>
          <w:szCs w:val="20"/>
        </w:rPr>
        <w:t>an injury requiring an ambulance, or if there is a hazard that may affect others in the building</w:t>
      </w:r>
      <w:proofErr w:type="gramEnd"/>
      <w:r w:rsidR="00A43844" w:rsidRPr="00A43844">
        <w:rPr>
          <w:rFonts w:ascii="Arial" w:eastAsia="Times New Roman" w:hAnsi="Arial" w:cs="Arial"/>
          <w:sz w:val="20"/>
          <w:szCs w:val="20"/>
        </w:rPr>
        <w:t>.</w:t>
      </w:r>
    </w:p>
    <w:p w:rsidR="0065182C" w:rsidRDefault="0065182C" w:rsidP="0065182C">
      <w:pPr>
        <w:rPr>
          <w:rFonts w:ascii="Arial" w:hAnsi="Arial" w:cs="Arial"/>
          <w:b/>
          <w:sz w:val="20"/>
          <w:szCs w:val="20"/>
        </w:rPr>
      </w:pPr>
      <w:r>
        <w:rPr>
          <w:rFonts w:ascii="Arial" w:hAnsi="Arial" w:cs="Arial"/>
          <w:b/>
          <w:sz w:val="20"/>
          <w:szCs w:val="20"/>
        </w:rPr>
        <w:t>Disposal of Waste</w:t>
      </w:r>
      <w:r w:rsidR="00A43844">
        <w:rPr>
          <w:rFonts w:ascii="Arial" w:hAnsi="Arial" w:cs="Arial"/>
          <w:b/>
          <w:sz w:val="20"/>
          <w:szCs w:val="20"/>
        </w:rPr>
        <w:t>:</w:t>
      </w:r>
    </w:p>
    <w:p w:rsidR="00A43844" w:rsidRPr="00A43844" w:rsidRDefault="00A43844" w:rsidP="00A43844">
      <w:pPr>
        <w:numPr>
          <w:ilvl w:val="0"/>
          <w:numId w:val="4"/>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 xml:space="preserve">Wash hands thoroughly with </w:t>
      </w:r>
      <w:proofErr w:type="gramStart"/>
      <w:r w:rsidRPr="00A43844">
        <w:rPr>
          <w:rFonts w:ascii="Arial" w:eastAsia="Times New Roman" w:hAnsi="Arial" w:cs="Arial"/>
          <w:sz w:val="20"/>
          <w:szCs w:val="20"/>
        </w:rPr>
        <w:t>soap and water after handling any chemical and whenever you leave the lab</w:t>
      </w:r>
      <w:proofErr w:type="gramEnd"/>
      <w:r w:rsidRPr="00A43844">
        <w:rPr>
          <w:rFonts w:ascii="Arial" w:eastAsia="Times New Roman" w:hAnsi="Arial" w:cs="Arial"/>
          <w:sz w:val="20"/>
          <w:szCs w:val="20"/>
        </w:rPr>
        <w:t>.</w:t>
      </w:r>
    </w:p>
    <w:p w:rsidR="00A43844" w:rsidRPr="00A43844" w:rsidRDefault="00A43844" w:rsidP="00A43844">
      <w:pPr>
        <w:numPr>
          <w:ilvl w:val="0"/>
          <w:numId w:val="4"/>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Use good housekeeping practices to avoid contamination of surfaces, garments, personal belongings, and self.</w:t>
      </w:r>
    </w:p>
    <w:p w:rsidR="00A43844" w:rsidRPr="00A43844" w:rsidRDefault="00A43844" w:rsidP="00A43844">
      <w:pPr>
        <w:numPr>
          <w:ilvl w:val="0"/>
          <w:numId w:val="4"/>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 xml:space="preserve">Decontaminate all surfaces that have </w:t>
      </w:r>
      <w:proofErr w:type="gramStart"/>
      <w:r w:rsidRPr="00A43844">
        <w:rPr>
          <w:rFonts w:ascii="Arial" w:eastAsia="Times New Roman" w:hAnsi="Arial" w:cs="Arial"/>
          <w:sz w:val="20"/>
          <w:szCs w:val="20"/>
        </w:rPr>
        <w:t>come in contact with</w:t>
      </w:r>
      <w:proofErr w:type="gramEnd"/>
      <w:r w:rsidRPr="00A43844">
        <w:rPr>
          <w:rFonts w:ascii="Arial" w:eastAsia="Times New Roman" w:hAnsi="Arial" w:cs="Arial"/>
          <w:sz w:val="20"/>
          <w:szCs w:val="20"/>
        </w:rPr>
        <w:t xml:space="preserve"> </w:t>
      </w:r>
      <w:r w:rsidRPr="00A43844">
        <w:rPr>
          <w:rFonts w:ascii="Arial" w:eastAsia="Times New Roman" w:hAnsi="Arial" w:cs="Arial"/>
          <w:b/>
          <w:bCs/>
          <w:sz w:val="20"/>
          <w:szCs w:val="20"/>
        </w:rPr>
        <w:t>corrosive gas</w:t>
      </w:r>
      <w:r w:rsidRPr="00A43844">
        <w:rPr>
          <w:rFonts w:ascii="Arial" w:eastAsia="Times New Roman" w:hAnsi="Arial" w:cs="Arial"/>
          <w:sz w:val="20"/>
          <w:szCs w:val="20"/>
        </w:rPr>
        <w:t>.  See the chemical Safety Data Sheet or contact EHRS for assistance with determining an appropriate decontamination method.  </w:t>
      </w:r>
    </w:p>
    <w:p w:rsidR="00A43844" w:rsidRPr="00A43844" w:rsidRDefault="00A43844" w:rsidP="00A43844">
      <w:pPr>
        <w:numPr>
          <w:ilvl w:val="0"/>
          <w:numId w:val="4"/>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Whenever possible, contact the gas vendor to return empty cylinders or unneeded quantities of gas in cylinders.</w:t>
      </w:r>
    </w:p>
    <w:p w:rsidR="00A43844" w:rsidRPr="00A43844" w:rsidRDefault="00A43844" w:rsidP="00A43844">
      <w:pPr>
        <w:numPr>
          <w:ilvl w:val="0"/>
          <w:numId w:val="4"/>
        </w:numPr>
        <w:spacing w:before="100" w:beforeAutospacing="1" w:after="100" w:afterAutospacing="1" w:line="240" w:lineRule="auto"/>
        <w:rPr>
          <w:rFonts w:ascii="Arial" w:eastAsia="Times New Roman" w:hAnsi="Arial" w:cs="Arial"/>
          <w:sz w:val="20"/>
          <w:szCs w:val="20"/>
        </w:rPr>
      </w:pPr>
      <w:r w:rsidRPr="00A43844">
        <w:rPr>
          <w:rFonts w:ascii="Arial" w:eastAsia="Times New Roman" w:hAnsi="Arial" w:cs="Arial"/>
          <w:sz w:val="20"/>
          <w:szCs w:val="20"/>
        </w:rPr>
        <w:t>When it is not possible to return the cylinder or unused gas, contact EHRS for assistance with disposing of cylinders.</w:t>
      </w:r>
    </w:p>
    <w:p w:rsidR="00A43844" w:rsidRDefault="00A43844" w:rsidP="0065182C">
      <w:pPr>
        <w:rPr>
          <w:rFonts w:ascii="Arial" w:hAnsi="Arial" w:cs="Arial"/>
          <w:b/>
          <w:sz w:val="20"/>
          <w:szCs w:val="20"/>
        </w:rPr>
      </w:pPr>
    </w:p>
    <w:p w:rsidR="003E684E" w:rsidRDefault="003E684E" w:rsidP="0065182C">
      <w:pPr>
        <w:rPr>
          <w:rFonts w:ascii="Arial" w:hAnsi="Arial" w:cs="Arial"/>
          <w:b/>
          <w:sz w:val="20"/>
          <w:szCs w:val="20"/>
        </w:rPr>
      </w:pPr>
    </w:p>
    <w:p w:rsidR="003E684E" w:rsidRDefault="003E684E" w:rsidP="003E684E">
      <w:pPr>
        <w:spacing w:after="14" w:line="250" w:lineRule="auto"/>
        <w:ind w:left="-5"/>
      </w:pPr>
      <w:r>
        <w:rPr>
          <w:rFonts w:ascii="Arial" w:eastAsia="Arial" w:hAnsi="Arial" w:cs="Arial"/>
          <w:b/>
          <w:sz w:val="24"/>
        </w:rPr>
        <w:t xml:space="preserve">Please list the compounds used by this research </w:t>
      </w:r>
      <w:proofErr w:type="gramStart"/>
      <w:r>
        <w:rPr>
          <w:rFonts w:ascii="Arial" w:eastAsia="Arial" w:hAnsi="Arial" w:cs="Arial"/>
          <w:b/>
          <w:sz w:val="24"/>
        </w:rPr>
        <w:t>group which</w:t>
      </w:r>
      <w:proofErr w:type="gramEnd"/>
      <w:r>
        <w:rPr>
          <w:rFonts w:ascii="Arial" w:eastAsia="Arial" w:hAnsi="Arial" w:cs="Arial"/>
          <w:b/>
          <w:sz w:val="24"/>
        </w:rPr>
        <w:t xml:space="preserve"> are covered by this procedure. The list should also include the building/room where they are used. </w:t>
      </w:r>
    </w:p>
    <w:tbl>
      <w:tblPr>
        <w:tblStyle w:val="TableGrid"/>
        <w:tblW w:w="8963" w:type="dxa"/>
        <w:tblInd w:w="0" w:type="dxa"/>
        <w:tblCellMar>
          <w:right w:w="115" w:type="dxa"/>
        </w:tblCellMar>
        <w:tblLook w:val="04A0" w:firstRow="1" w:lastRow="0" w:firstColumn="1" w:lastColumn="0" w:noHBand="0" w:noVBand="1"/>
      </w:tblPr>
      <w:tblGrid>
        <w:gridCol w:w="8963"/>
      </w:tblGrid>
      <w:tr w:rsidR="003E684E" w:rsidTr="00F875D3">
        <w:trPr>
          <w:trHeight w:val="916"/>
        </w:trPr>
        <w:tc>
          <w:tcPr>
            <w:tcW w:w="8963" w:type="dxa"/>
            <w:tcBorders>
              <w:top w:val="single" w:sz="6" w:space="0" w:color="000000"/>
              <w:left w:val="single" w:sz="6" w:space="0" w:color="000000"/>
              <w:bottom w:val="single" w:sz="6" w:space="0" w:color="000000"/>
              <w:right w:val="single" w:sz="6" w:space="0" w:color="000000"/>
            </w:tcBorders>
          </w:tcPr>
          <w:p w:rsidR="003E684E" w:rsidRDefault="003E684E" w:rsidP="00F875D3">
            <w:pPr>
              <w:spacing w:line="259" w:lineRule="auto"/>
            </w:pPr>
            <w:r>
              <w:t xml:space="preserve"> </w:t>
            </w:r>
          </w:p>
          <w:p w:rsidR="003E684E" w:rsidRDefault="003E684E" w:rsidP="00F875D3">
            <w:pPr>
              <w:spacing w:line="259" w:lineRule="auto"/>
            </w:pPr>
            <w:r>
              <w:t xml:space="preserve"> </w:t>
            </w:r>
          </w:p>
          <w:p w:rsidR="003E684E" w:rsidRDefault="003E684E" w:rsidP="00F875D3">
            <w:pPr>
              <w:spacing w:after="19" w:line="259" w:lineRule="auto"/>
            </w:pPr>
            <w:r>
              <w:t xml:space="preserve"> </w:t>
            </w:r>
          </w:p>
          <w:p w:rsidR="003E684E" w:rsidRDefault="003E684E" w:rsidP="00F875D3">
            <w:pPr>
              <w:spacing w:line="259" w:lineRule="auto"/>
            </w:pPr>
            <w:r>
              <w:rPr>
                <w:rFonts w:ascii="Arial" w:eastAsia="Arial" w:hAnsi="Arial" w:cs="Arial"/>
                <w:b/>
                <w:sz w:val="24"/>
              </w:rPr>
              <w:t xml:space="preserve"> </w:t>
            </w:r>
          </w:p>
        </w:tc>
      </w:tr>
    </w:tbl>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A82A1C" w:rsidRDefault="00A82A1C" w:rsidP="003E684E">
      <w:pPr>
        <w:spacing w:after="14" w:line="250" w:lineRule="auto"/>
        <w:ind w:left="-5"/>
        <w:rPr>
          <w:rFonts w:ascii="Arial" w:eastAsia="Arial" w:hAnsi="Arial" w:cs="Arial"/>
          <w:b/>
          <w:sz w:val="24"/>
        </w:rPr>
      </w:pPr>
    </w:p>
    <w:p w:rsidR="003E684E" w:rsidRDefault="003E684E" w:rsidP="003E684E">
      <w:pPr>
        <w:spacing w:after="14" w:line="250" w:lineRule="auto"/>
        <w:ind w:left="-5"/>
      </w:pPr>
      <w:r>
        <w:rPr>
          <w:rFonts w:ascii="Arial" w:eastAsia="Arial" w:hAnsi="Arial" w:cs="Arial"/>
          <w:b/>
          <w:sz w:val="24"/>
        </w:rPr>
        <w:t xml:space="preserve">Lab Specific Protocol/Procedure: </w:t>
      </w:r>
    </w:p>
    <w:tbl>
      <w:tblPr>
        <w:tblStyle w:val="TableGrid"/>
        <w:tblW w:w="8881" w:type="dxa"/>
        <w:tblInd w:w="0" w:type="dxa"/>
        <w:tblCellMar>
          <w:top w:w="72" w:type="dxa"/>
          <w:right w:w="115" w:type="dxa"/>
        </w:tblCellMar>
        <w:tblLook w:val="04A0" w:firstRow="1" w:lastRow="0" w:firstColumn="1" w:lastColumn="0" w:noHBand="0" w:noVBand="1"/>
      </w:tblPr>
      <w:tblGrid>
        <w:gridCol w:w="8881"/>
      </w:tblGrid>
      <w:tr w:rsidR="003E684E" w:rsidTr="00F875D3">
        <w:trPr>
          <w:trHeight w:val="2892"/>
        </w:trPr>
        <w:tc>
          <w:tcPr>
            <w:tcW w:w="8881" w:type="dxa"/>
            <w:tcBorders>
              <w:top w:val="single" w:sz="6" w:space="0" w:color="000000"/>
              <w:left w:val="single" w:sz="6" w:space="0" w:color="000000"/>
              <w:bottom w:val="single" w:sz="6" w:space="0" w:color="000000"/>
              <w:right w:val="single" w:sz="6" w:space="0" w:color="000000"/>
            </w:tcBorders>
          </w:tcPr>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line="259" w:lineRule="auto"/>
            </w:pPr>
            <w:r>
              <w:rPr>
                <w:rFonts w:ascii="Calibri" w:eastAsia="Calibri" w:hAnsi="Calibri" w:cs="Calibri"/>
              </w:rPr>
              <w:t xml:space="preserve"> </w:t>
            </w:r>
          </w:p>
        </w:tc>
      </w:tr>
    </w:tbl>
    <w:p w:rsidR="00A82A1C" w:rsidRDefault="00A82A1C" w:rsidP="003E684E">
      <w:pPr>
        <w:spacing w:after="0"/>
        <w:rPr>
          <w:rFonts w:ascii="Calibri" w:eastAsia="Calibri" w:hAnsi="Calibri" w:cs="Calibri"/>
        </w:rPr>
      </w:pPr>
    </w:p>
    <w:p w:rsidR="00502A8A" w:rsidRDefault="00502A8A" w:rsidP="003E684E">
      <w:pPr>
        <w:spacing w:after="0"/>
        <w:rPr>
          <w:rFonts w:ascii="Calibri" w:eastAsia="Calibri" w:hAnsi="Calibri" w:cs="Calibri"/>
        </w:rPr>
      </w:pPr>
    </w:p>
    <w:p w:rsidR="00A82A1C" w:rsidRDefault="00A82A1C" w:rsidP="003E684E">
      <w:pPr>
        <w:spacing w:after="0"/>
        <w:rPr>
          <w:rFonts w:ascii="Calibri" w:eastAsia="Calibri" w:hAnsi="Calibri" w:cs="Calibri"/>
        </w:rPr>
      </w:pPr>
      <w:r>
        <w:rPr>
          <w:rFonts w:ascii="Calibri" w:eastAsia="Calibri" w:hAnsi="Calibri" w:cs="Calibri"/>
        </w:rPr>
        <w:t>I agree that I have read this SOP and will follow the procedures described in this SOP and on the SDS.  Any deviation from this SOP or the SDS will only occur if it is to make a safer situation.</w:t>
      </w:r>
    </w:p>
    <w:p w:rsidR="003E684E" w:rsidRDefault="003E684E" w:rsidP="003E684E">
      <w:pPr>
        <w:spacing w:after="0"/>
      </w:pPr>
      <w:r>
        <w:rPr>
          <w:rFonts w:ascii="Calibri" w:eastAsia="Calibri" w:hAnsi="Calibri" w:cs="Calibri"/>
        </w:rPr>
        <w:t xml:space="preserve"> </w:t>
      </w:r>
    </w:p>
    <w:p w:rsidR="003E684E" w:rsidRDefault="003E684E" w:rsidP="003E684E">
      <w:pPr>
        <w:spacing w:after="62"/>
        <w:ind w:left="-29" w:right="-45"/>
      </w:pPr>
      <w:r>
        <w:rPr>
          <w:rFonts w:ascii="Calibri" w:eastAsia="Calibri" w:hAnsi="Calibri" w:cs="Calibri"/>
          <w:noProof/>
        </w:rPr>
        <mc:AlternateContent>
          <mc:Choice Requires="wpg">
            <w:drawing>
              <wp:inline distT="0" distB="0" distL="0" distR="0" wp14:anchorId="2B15C29A" wp14:editId="7CD7575F">
                <wp:extent cx="5981065" cy="6097"/>
                <wp:effectExtent l="0" t="0" r="0" b="0"/>
                <wp:docPr id="5094" name="Group 5094"/>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6166" name="Shape 61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09A79" id="Group 509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">
                <v:shape id="Shape 616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rsidR="003E684E" w:rsidRDefault="003E684E" w:rsidP="003E684E">
      <w:pPr>
        <w:spacing w:after="0"/>
        <w:rPr>
          <w:rFonts w:ascii="Calibri" w:eastAsia="Calibri" w:hAnsi="Calibri" w:cs="Calibri"/>
        </w:rPr>
      </w:pPr>
      <w:r>
        <w:rPr>
          <w:rFonts w:ascii="Calibri" w:eastAsia="Calibri" w:hAnsi="Calibri" w:cs="Calibri"/>
        </w:rPr>
        <w:t xml:space="preserve">Principal Investigator’s Signature/Date </w:t>
      </w:r>
    </w:p>
    <w:p w:rsidR="00502A8A" w:rsidRDefault="00502A8A" w:rsidP="003E684E">
      <w:pPr>
        <w:spacing w:after="0"/>
        <w:rPr>
          <w:rFonts w:ascii="Calibri" w:eastAsia="Calibri" w:hAnsi="Calibri" w:cs="Calibri"/>
        </w:rPr>
      </w:pPr>
    </w:p>
    <w:p w:rsidR="00502A8A" w:rsidRDefault="00502A8A" w:rsidP="00502A8A">
      <w:pPr>
        <w:rPr>
          <w:rFonts w:ascii="Arial" w:hAnsi="Arial" w:cs="Arial"/>
          <w:b/>
          <w:sz w:val="20"/>
          <w:szCs w:val="20"/>
        </w:rPr>
      </w:pPr>
      <w:r>
        <w:rPr>
          <w:rFonts w:ascii="Arial" w:hAnsi="Arial" w:cs="Arial"/>
          <w:b/>
          <w:sz w:val="20"/>
          <w:szCs w:val="20"/>
        </w:rPr>
        <w:t>Upon completion forward to the Environmen</w:t>
      </w:r>
      <w:r>
        <w:rPr>
          <w:rFonts w:ascii="Arial" w:hAnsi="Arial" w:cs="Arial"/>
          <w:b/>
          <w:sz w:val="20"/>
          <w:szCs w:val="20"/>
        </w:rPr>
        <w:t xml:space="preserve">tal Health and Safety Officer, </w:t>
      </w:r>
      <w:r>
        <w:rPr>
          <w:rFonts w:ascii="Arial" w:hAnsi="Arial" w:cs="Arial"/>
          <w:b/>
          <w:sz w:val="20"/>
          <w:szCs w:val="20"/>
        </w:rPr>
        <w:t>Human Resources</w:t>
      </w:r>
    </w:p>
    <w:p w:rsidR="00502A8A" w:rsidRDefault="00502A8A" w:rsidP="00502A8A">
      <w:pPr>
        <w:spacing w:after="0"/>
        <w:rPr>
          <w:rFonts w:ascii="Calibri" w:eastAsia="Calibri" w:hAnsi="Calibri" w:cs="Calibri"/>
        </w:rPr>
      </w:pPr>
      <w:r>
        <w:rPr>
          <w:rFonts w:ascii="Arial" w:hAnsi="Arial" w:cs="Arial"/>
          <w:b/>
          <w:sz w:val="20"/>
          <w:szCs w:val="20"/>
        </w:rPr>
        <w:t>EHSO approval:  Signature/Date</w:t>
      </w:r>
    </w:p>
    <w:p w:rsidR="00502A8A" w:rsidRDefault="00502A8A" w:rsidP="0065182C">
      <w:pPr>
        <w:rPr>
          <w:rFonts w:ascii="Arial" w:hAnsi="Arial" w:cs="Arial"/>
          <w:b/>
          <w:sz w:val="20"/>
          <w:szCs w:val="20"/>
        </w:rPr>
      </w:pPr>
    </w:p>
    <w:p w:rsidR="00502A8A" w:rsidRDefault="00502A8A" w:rsidP="0065182C">
      <w:pPr>
        <w:rPr>
          <w:rFonts w:ascii="Arial" w:hAnsi="Arial" w:cs="Arial"/>
          <w:b/>
          <w:sz w:val="20"/>
          <w:szCs w:val="20"/>
        </w:rPr>
      </w:pPr>
    </w:p>
    <w:p w:rsidR="003E684E" w:rsidRPr="0065182C" w:rsidRDefault="00C61CC3" w:rsidP="0065182C">
      <w:pPr>
        <w:rPr>
          <w:rFonts w:ascii="Arial" w:hAnsi="Arial" w:cs="Arial"/>
          <w:b/>
          <w:sz w:val="20"/>
          <w:szCs w:val="20"/>
        </w:rPr>
      </w:pPr>
      <w:r>
        <w:rPr>
          <w:rFonts w:ascii="Arial" w:hAnsi="Arial" w:cs="Arial"/>
          <w:b/>
          <w:sz w:val="20"/>
          <w:szCs w:val="20"/>
        </w:rPr>
        <w:t xml:space="preserve">Revision date:  Dec. </w:t>
      </w:r>
      <w:bookmarkStart w:id="0" w:name="_GoBack"/>
      <w:bookmarkEnd w:id="0"/>
      <w:r w:rsidR="00A82A1C">
        <w:rPr>
          <w:rFonts w:ascii="Arial" w:hAnsi="Arial" w:cs="Arial"/>
          <w:b/>
          <w:sz w:val="20"/>
          <w:szCs w:val="20"/>
        </w:rPr>
        <w:t>2019</w:t>
      </w:r>
    </w:p>
    <w:sectPr w:rsidR="003E684E" w:rsidRPr="00651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6CCB"/>
    <w:multiLevelType w:val="multilevel"/>
    <w:tmpl w:val="FA32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2333D"/>
    <w:multiLevelType w:val="multilevel"/>
    <w:tmpl w:val="E7C4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424D8"/>
    <w:multiLevelType w:val="multilevel"/>
    <w:tmpl w:val="59E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F4743"/>
    <w:multiLevelType w:val="multilevel"/>
    <w:tmpl w:val="31B8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87086"/>
    <w:multiLevelType w:val="multilevel"/>
    <w:tmpl w:val="4138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2C"/>
    <w:rsid w:val="001B5202"/>
    <w:rsid w:val="003E684E"/>
    <w:rsid w:val="00502A8A"/>
    <w:rsid w:val="0057784E"/>
    <w:rsid w:val="0065182C"/>
    <w:rsid w:val="007231DB"/>
    <w:rsid w:val="007500DF"/>
    <w:rsid w:val="00982557"/>
    <w:rsid w:val="00A43844"/>
    <w:rsid w:val="00A82A1C"/>
    <w:rsid w:val="00C61CC3"/>
    <w:rsid w:val="00CB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F5FA"/>
  <w15:chartTrackingRefBased/>
  <w15:docId w15:val="{49C933C0-5AA9-4B13-B227-5EEDB1FE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28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28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84E"/>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CB28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8C9"/>
    <w:rPr>
      <w:b/>
      <w:bCs/>
    </w:rPr>
  </w:style>
  <w:style w:type="character" w:customStyle="1" w:styleId="Heading3Char">
    <w:name w:val="Heading 3 Char"/>
    <w:basedOn w:val="DefaultParagraphFont"/>
    <w:link w:val="Heading3"/>
    <w:uiPriority w:val="9"/>
    <w:rsid w:val="00CB28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28C9"/>
    <w:rPr>
      <w:rFonts w:ascii="Times New Roman" w:eastAsia="Times New Roman" w:hAnsi="Times New Roman" w:cs="Times New Roman"/>
      <w:b/>
      <w:bCs/>
      <w:sz w:val="24"/>
      <w:szCs w:val="24"/>
    </w:rPr>
  </w:style>
  <w:style w:type="character" w:styleId="Emphasis">
    <w:name w:val="Emphasis"/>
    <w:basedOn w:val="DefaultParagraphFont"/>
    <w:uiPriority w:val="20"/>
    <w:qFormat/>
    <w:rsid w:val="00CB28C9"/>
    <w:rPr>
      <w:i/>
      <w:iCs/>
    </w:rPr>
  </w:style>
  <w:style w:type="character" w:styleId="Hyperlink">
    <w:name w:val="Hyperlink"/>
    <w:basedOn w:val="DefaultParagraphFont"/>
    <w:uiPriority w:val="99"/>
    <w:unhideWhenUsed/>
    <w:rsid w:val="00CB28C9"/>
    <w:rPr>
      <w:color w:val="0000FF"/>
      <w:u w:val="single"/>
    </w:rPr>
  </w:style>
  <w:style w:type="table" w:styleId="TableGrid0">
    <w:name w:val="Table Grid"/>
    <w:basedOn w:val="TableNormal"/>
    <w:uiPriority w:val="39"/>
    <w:rsid w:val="001B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9676">
      <w:bodyDiv w:val="1"/>
      <w:marLeft w:val="0"/>
      <w:marRight w:val="0"/>
      <w:marTop w:val="0"/>
      <w:marBottom w:val="0"/>
      <w:divBdr>
        <w:top w:val="none" w:sz="0" w:space="0" w:color="auto"/>
        <w:left w:val="none" w:sz="0" w:space="0" w:color="auto"/>
        <w:bottom w:val="none" w:sz="0" w:space="0" w:color="auto"/>
        <w:right w:val="none" w:sz="0" w:space="0" w:color="auto"/>
      </w:divBdr>
    </w:div>
    <w:div w:id="121121333">
      <w:bodyDiv w:val="1"/>
      <w:marLeft w:val="0"/>
      <w:marRight w:val="0"/>
      <w:marTop w:val="0"/>
      <w:marBottom w:val="0"/>
      <w:divBdr>
        <w:top w:val="none" w:sz="0" w:space="0" w:color="auto"/>
        <w:left w:val="none" w:sz="0" w:space="0" w:color="auto"/>
        <w:bottom w:val="none" w:sz="0" w:space="0" w:color="auto"/>
        <w:right w:val="none" w:sz="0" w:space="0" w:color="auto"/>
      </w:divBdr>
    </w:div>
    <w:div w:id="644814842">
      <w:bodyDiv w:val="1"/>
      <w:marLeft w:val="0"/>
      <w:marRight w:val="0"/>
      <w:marTop w:val="0"/>
      <w:marBottom w:val="0"/>
      <w:divBdr>
        <w:top w:val="none" w:sz="0" w:space="0" w:color="auto"/>
        <w:left w:val="none" w:sz="0" w:space="0" w:color="auto"/>
        <w:bottom w:val="none" w:sz="0" w:space="0" w:color="auto"/>
        <w:right w:val="none" w:sz="0" w:space="0" w:color="auto"/>
      </w:divBdr>
    </w:div>
    <w:div w:id="1296834734">
      <w:bodyDiv w:val="1"/>
      <w:marLeft w:val="0"/>
      <w:marRight w:val="0"/>
      <w:marTop w:val="0"/>
      <w:marBottom w:val="0"/>
      <w:divBdr>
        <w:top w:val="none" w:sz="0" w:space="0" w:color="auto"/>
        <w:left w:val="none" w:sz="0" w:space="0" w:color="auto"/>
        <w:bottom w:val="none" w:sz="0" w:space="0" w:color="auto"/>
        <w:right w:val="none" w:sz="0" w:space="0" w:color="auto"/>
      </w:divBdr>
    </w:div>
    <w:div w:id="1372849730">
      <w:bodyDiv w:val="1"/>
      <w:marLeft w:val="0"/>
      <w:marRight w:val="0"/>
      <w:marTop w:val="0"/>
      <w:marBottom w:val="0"/>
      <w:divBdr>
        <w:top w:val="none" w:sz="0" w:space="0" w:color="auto"/>
        <w:left w:val="none" w:sz="0" w:space="0" w:color="auto"/>
        <w:bottom w:val="none" w:sz="0" w:space="0" w:color="auto"/>
        <w:right w:val="none" w:sz="0" w:space="0" w:color="auto"/>
      </w:divBdr>
    </w:div>
    <w:div w:id="1533222050">
      <w:bodyDiv w:val="1"/>
      <w:marLeft w:val="0"/>
      <w:marRight w:val="0"/>
      <w:marTop w:val="0"/>
      <w:marBottom w:val="0"/>
      <w:divBdr>
        <w:top w:val="none" w:sz="0" w:space="0" w:color="auto"/>
        <w:left w:val="none" w:sz="0" w:space="0" w:color="auto"/>
        <w:bottom w:val="none" w:sz="0" w:space="0" w:color="auto"/>
        <w:right w:val="none" w:sz="0" w:space="0" w:color="auto"/>
      </w:divBdr>
    </w:div>
    <w:div w:id="1693804517">
      <w:bodyDiv w:val="1"/>
      <w:marLeft w:val="0"/>
      <w:marRight w:val="0"/>
      <w:marTop w:val="0"/>
      <w:marBottom w:val="0"/>
      <w:divBdr>
        <w:top w:val="none" w:sz="0" w:space="0" w:color="auto"/>
        <w:left w:val="none" w:sz="0" w:space="0" w:color="auto"/>
        <w:bottom w:val="none" w:sz="0" w:space="0" w:color="auto"/>
        <w:right w:val="none" w:sz="0" w:space="0" w:color="auto"/>
      </w:divBdr>
    </w:div>
    <w:div w:id="1767461518">
      <w:bodyDiv w:val="1"/>
      <w:marLeft w:val="0"/>
      <w:marRight w:val="0"/>
      <w:marTop w:val="0"/>
      <w:marBottom w:val="0"/>
      <w:divBdr>
        <w:top w:val="none" w:sz="0" w:space="0" w:color="auto"/>
        <w:left w:val="none" w:sz="0" w:space="0" w:color="auto"/>
        <w:bottom w:val="none" w:sz="0" w:space="0" w:color="auto"/>
        <w:right w:val="none" w:sz="0" w:space="0" w:color="auto"/>
      </w:divBdr>
    </w:div>
    <w:div w:id="18720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5</cp:revision>
  <dcterms:created xsi:type="dcterms:W3CDTF">2019-05-07T16:27:00Z</dcterms:created>
  <dcterms:modified xsi:type="dcterms:W3CDTF">2019-12-04T15:07:00Z</dcterms:modified>
</cp:coreProperties>
</file>