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E6689" w14:textId="4C0B532F" w:rsidR="00476304" w:rsidRDefault="004536D6" w:rsidP="001852B0">
      <w:pPr>
        <w:pStyle w:val="Title"/>
        <w:jc w:val="center"/>
      </w:pPr>
      <w:r>
        <w:t>Procedure</w:t>
      </w:r>
      <w:r w:rsidR="00476304" w:rsidRPr="004536D6">
        <w:t xml:space="preserve"> </w:t>
      </w:r>
      <w:r w:rsidR="00BB221A" w:rsidRPr="004536D6">
        <w:t xml:space="preserve">for </w:t>
      </w:r>
      <w:r w:rsidR="00476304" w:rsidRPr="004536D6">
        <w:t xml:space="preserve">Invitation to Quote </w:t>
      </w:r>
      <w:r w:rsidR="00BB221A" w:rsidRPr="004536D6">
        <w:t xml:space="preserve">(ITQ) </w:t>
      </w:r>
      <w:r w:rsidR="005C1CA2" w:rsidRPr="004536D6">
        <w:t xml:space="preserve">Goods and Services </w:t>
      </w:r>
      <w:r w:rsidR="00476304" w:rsidRPr="004536D6">
        <w:t>under $</w:t>
      </w:r>
      <w:r w:rsidR="00D02EDB">
        <w:t>121,200</w:t>
      </w:r>
    </w:p>
    <w:p w14:paraId="5B8E4C62" w14:textId="77777777" w:rsidR="001852B0" w:rsidRPr="001852B0" w:rsidRDefault="001852B0" w:rsidP="001852B0"/>
    <w:p w14:paraId="3416CA64" w14:textId="2D42D2D4" w:rsidR="00972BE1" w:rsidRPr="004536D6" w:rsidRDefault="00A70ACC">
      <w:pPr>
        <w:rPr>
          <w:b/>
          <w:bCs/>
          <w:u w:val="single"/>
        </w:rPr>
      </w:pPr>
      <w:r w:rsidRPr="004536D6">
        <w:rPr>
          <w:b/>
          <w:bCs/>
          <w:u w:val="single"/>
        </w:rPr>
        <w:t>Purpose of ITQ</w:t>
      </w:r>
    </w:p>
    <w:p w14:paraId="0D134D6D" w14:textId="13A08191" w:rsidR="00476304" w:rsidRDefault="00972BE1" w:rsidP="007310D3">
      <w:pPr>
        <w:jc w:val="both"/>
      </w:pPr>
      <w:r>
        <w:t>The objective of the ITQ template is to</w:t>
      </w:r>
      <w:r w:rsidR="001905E1">
        <w:t xml:space="preserve"> </w:t>
      </w:r>
      <w:r w:rsidR="006E1727">
        <w:t xml:space="preserve">invite Vendors to submit a non-binding offer (Quote) for the provision of goods or services under the open competitive threshold of $121,200 and </w:t>
      </w:r>
      <w:r w:rsidR="007310D3">
        <w:t>create</w:t>
      </w:r>
      <w:r w:rsidR="001905E1">
        <w:t xml:space="preserve"> a standardized and efficient process</w:t>
      </w:r>
      <w:r w:rsidR="004536D6">
        <w:t xml:space="preserve"> in which</w:t>
      </w:r>
      <w:r>
        <w:t xml:space="preserve"> </w:t>
      </w:r>
      <w:r w:rsidR="006E1727">
        <w:t>vendors</w:t>
      </w:r>
      <w:r>
        <w:t xml:space="preserve"> are </w:t>
      </w:r>
      <w:r w:rsidR="006E1727">
        <w:t xml:space="preserve">able to </w:t>
      </w:r>
      <w:r>
        <w:t>provide identical information</w:t>
      </w:r>
      <w:r w:rsidR="001905E1">
        <w:t xml:space="preserve"> </w:t>
      </w:r>
      <w:r w:rsidR="000E61D7">
        <w:t xml:space="preserve">to ensure </w:t>
      </w:r>
      <w:r w:rsidR="004536D6">
        <w:t xml:space="preserve">a </w:t>
      </w:r>
      <w:r w:rsidR="000E61D7">
        <w:t>fair</w:t>
      </w:r>
      <w:r w:rsidR="00FB26A5">
        <w:t xml:space="preserve"> </w:t>
      </w:r>
      <w:r w:rsidR="000E61D7">
        <w:t xml:space="preserve">and transparent </w:t>
      </w:r>
      <w:r w:rsidR="004536D6">
        <w:t xml:space="preserve">competitive </w:t>
      </w:r>
      <w:r w:rsidR="000E61D7">
        <w:t xml:space="preserve">procurement process.  </w:t>
      </w:r>
    </w:p>
    <w:p w14:paraId="3983A774" w14:textId="63F82F9B" w:rsidR="00CF1168" w:rsidRDefault="00CF1168" w:rsidP="00CF1168">
      <w:r>
        <w:t>Using the ITQ template when soliciting quotes for purchases less than $121,200 is considered the best practice but is not mandatory.  Invitations to Ontario Businesses, if available, are preferred practice pursuant to the Building Ontario Business Initiative Act (BOBIA).</w:t>
      </w:r>
    </w:p>
    <w:p w14:paraId="0844AFE7" w14:textId="77777777" w:rsidR="00C74AFD" w:rsidRDefault="004536D6">
      <w:pPr>
        <w:rPr>
          <w:b/>
          <w:bCs/>
          <w:u w:val="single"/>
        </w:rPr>
      </w:pPr>
      <w:r w:rsidRPr="004536D6">
        <w:rPr>
          <w:b/>
          <w:bCs/>
          <w:u w:val="single"/>
        </w:rPr>
        <w:t>Quotation Requirements</w:t>
      </w:r>
    </w:p>
    <w:p w14:paraId="28C63849" w14:textId="77777777" w:rsidR="00CF79AE" w:rsidRPr="00CF79AE" w:rsidRDefault="00CF79AE" w:rsidP="00CF79AE">
      <w:pPr>
        <w:spacing w:after="0"/>
      </w:pPr>
      <w:r w:rsidRPr="00CF79AE">
        <w:t>Competitive procurement thresholds for goods, non-consulting services and construction are as follows: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7555"/>
      </w:tblGrid>
      <w:tr w:rsidR="00CF79AE" w:rsidRPr="00CF79AE" w14:paraId="5E606664" w14:textId="77777777" w:rsidTr="00014B79">
        <w:trPr>
          <w:trHeight w:val="549"/>
        </w:trPr>
        <w:tc>
          <w:tcPr>
            <w:tcW w:w="2430" w:type="dxa"/>
            <w:shd w:val="clear" w:color="auto" w:fill="D9D9D9" w:themeFill="background1" w:themeFillShade="D9"/>
            <w:vAlign w:val="center"/>
          </w:tcPr>
          <w:p w14:paraId="576A08CF" w14:textId="77777777" w:rsidR="00CF79AE" w:rsidRPr="00CF79AE" w:rsidRDefault="00CF79AE" w:rsidP="00CF79AE">
            <w:pPr>
              <w:rPr>
                <w:b/>
                <w:bCs/>
                <w:iCs/>
              </w:rPr>
            </w:pPr>
            <w:r w:rsidRPr="00CF79AE">
              <w:rPr>
                <w:b/>
                <w:bCs/>
                <w:iCs/>
              </w:rPr>
              <w:t>Procurement Value</w:t>
            </w:r>
          </w:p>
        </w:tc>
        <w:tc>
          <w:tcPr>
            <w:tcW w:w="7555" w:type="dxa"/>
            <w:shd w:val="clear" w:color="auto" w:fill="D9D9D9" w:themeFill="background1" w:themeFillShade="D9"/>
            <w:vAlign w:val="center"/>
          </w:tcPr>
          <w:p w14:paraId="19E0C132" w14:textId="77777777" w:rsidR="00CF79AE" w:rsidRPr="00CF79AE" w:rsidRDefault="00CF79AE" w:rsidP="00CF79AE">
            <w:pPr>
              <w:rPr>
                <w:b/>
                <w:bCs/>
                <w:iCs/>
              </w:rPr>
            </w:pPr>
            <w:r w:rsidRPr="00CF79AE">
              <w:rPr>
                <w:b/>
                <w:bCs/>
                <w:iCs/>
              </w:rPr>
              <w:t>Requirement</w:t>
            </w:r>
          </w:p>
        </w:tc>
      </w:tr>
      <w:tr w:rsidR="00CF79AE" w:rsidRPr="00CF79AE" w14:paraId="022A3516" w14:textId="77777777" w:rsidTr="00014B79">
        <w:trPr>
          <w:trHeight w:val="549"/>
        </w:trPr>
        <w:tc>
          <w:tcPr>
            <w:tcW w:w="2430" w:type="dxa"/>
            <w:shd w:val="clear" w:color="auto" w:fill="auto"/>
            <w:vAlign w:val="center"/>
          </w:tcPr>
          <w:p w14:paraId="3344F241" w14:textId="77777777" w:rsidR="00CF79AE" w:rsidRPr="00CF79AE" w:rsidRDefault="00CF79AE" w:rsidP="00CF79AE">
            <w:pPr>
              <w:rPr>
                <w:bCs/>
                <w:iCs/>
              </w:rPr>
            </w:pPr>
            <w:r w:rsidRPr="00CF79AE">
              <w:rPr>
                <w:bCs/>
                <w:iCs/>
              </w:rPr>
              <w:t>$0 - $25,000</w:t>
            </w:r>
          </w:p>
        </w:tc>
        <w:tc>
          <w:tcPr>
            <w:tcW w:w="7555" w:type="dxa"/>
            <w:shd w:val="clear" w:color="auto" w:fill="auto"/>
          </w:tcPr>
          <w:p w14:paraId="770E7EFA" w14:textId="77777777" w:rsidR="00CF79AE" w:rsidRPr="00CF79AE" w:rsidRDefault="00CF79AE" w:rsidP="00CF79AE">
            <w:pPr>
              <w:rPr>
                <w:bCs/>
                <w:iCs/>
              </w:rPr>
            </w:pPr>
            <w:r w:rsidRPr="00CF79AE">
              <w:rPr>
                <w:bCs/>
                <w:iCs/>
              </w:rPr>
              <w:t>One (1) written quotation</w:t>
            </w:r>
          </w:p>
        </w:tc>
      </w:tr>
      <w:tr w:rsidR="00CF79AE" w:rsidRPr="00CF79AE" w14:paraId="054C681F" w14:textId="77777777" w:rsidTr="00014B79">
        <w:trPr>
          <w:trHeight w:val="549"/>
        </w:trPr>
        <w:tc>
          <w:tcPr>
            <w:tcW w:w="2430" w:type="dxa"/>
            <w:shd w:val="clear" w:color="auto" w:fill="auto"/>
            <w:vAlign w:val="center"/>
          </w:tcPr>
          <w:p w14:paraId="28432EA3" w14:textId="751D8AE8" w:rsidR="00CF79AE" w:rsidRPr="00CF79AE" w:rsidRDefault="00CF79AE" w:rsidP="00CF79AE">
            <w:pPr>
              <w:rPr>
                <w:b/>
                <w:bCs/>
                <w:iCs/>
              </w:rPr>
            </w:pPr>
            <w:r w:rsidRPr="00CF79AE">
              <w:rPr>
                <w:bCs/>
                <w:iCs/>
              </w:rPr>
              <w:t>$25,001 -$</w:t>
            </w:r>
            <w:r w:rsidR="006E1727">
              <w:rPr>
                <w:bCs/>
                <w:iCs/>
              </w:rPr>
              <w:t>121,200</w:t>
            </w:r>
            <w:r w:rsidRPr="00CF79AE">
              <w:rPr>
                <w:bCs/>
                <w:iCs/>
              </w:rPr>
              <w:t xml:space="preserve"> </w:t>
            </w:r>
          </w:p>
        </w:tc>
        <w:tc>
          <w:tcPr>
            <w:tcW w:w="7555" w:type="dxa"/>
            <w:shd w:val="clear" w:color="auto" w:fill="auto"/>
          </w:tcPr>
          <w:p w14:paraId="3460EC0C" w14:textId="77777777" w:rsidR="00CF79AE" w:rsidRPr="00CF79AE" w:rsidRDefault="00CF79AE" w:rsidP="00CF79AE">
            <w:pPr>
              <w:rPr>
                <w:bCs/>
                <w:iCs/>
              </w:rPr>
            </w:pPr>
            <w:r w:rsidRPr="00CF79AE">
              <w:rPr>
                <w:bCs/>
                <w:iCs/>
              </w:rPr>
              <w:t xml:space="preserve">Three (3) invitational written quotations </w:t>
            </w:r>
          </w:p>
        </w:tc>
      </w:tr>
      <w:tr w:rsidR="00CF79AE" w:rsidRPr="00CF79AE" w14:paraId="75F8BE9D" w14:textId="77777777" w:rsidTr="00014B79">
        <w:trPr>
          <w:trHeight w:val="549"/>
        </w:trPr>
        <w:tc>
          <w:tcPr>
            <w:tcW w:w="2430" w:type="dxa"/>
            <w:shd w:val="clear" w:color="auto" w:fill="auto"/>
            <w:vAlign w:val="center"/>
          </w:tcPr>
          <w:p w14:paraId="5F4325FB" w14:textId="2B6A663F" w:rsidR="00CF79AE" w:rsidRPr="00CF79AE" w:rsidRDefault="00CF79AE" w:rsidP="00CF79AE">
            <w:pPr>
              <w:rPr>
                <w:b/>
                <w:bCs/>
                <w:iCs/>
              </w:rPr>
            </w:pPr>
            <w:r w:rsidRPr="00CF79AE">
              <w:rPr>
                <w:bCs/>
                <w:iCs/>
              </w:rPr>
              <w:t>$</w:t>
            </w:r>
            <w:r w:rsidR="006E1727">
              <w:rPr>
                <w:bCs/>
                <w:iCs/>
              </w:rPr>
              <w:t>121,000</w:t>
            </w:r>
            <w:r w:rsidRPr="00CF79AE">
              <w:rPr>
                <w:bCs/>
                <w:iCs/>
              </w:rPr>
              <w:t xml:space="preserve"> and over   </w:t>
            </w:r>
          </w:p>
        </w:tc>
        <w:tc>
          <w:tcPr>
            <w:tcW w:w="7555" w:type="dxa"/>
            <w:shd w:val="clear" w:color="auto" w:fill="auto"/>
          </w:tcPr>
          <w:p w14:paraId="2E14FB48" w14:textId="77777777" w:rsidR="00CF79AE" w:rsidRPr="00CF79AE" w:rsidRDefault="00CF79AE" w:rsidP="00CF79AE">
            <w:r w:rsidRPr="00CF79AE">
              <w:t xml:space="preserve">Open competitive RFx process to be advertised using an electronic bid service for appropriate number of calendar days as defined </w:t>
            </w:r>
            <w:proofErr w:type="gramStart"/>
            <w:r w:rsidRPr="00CF79AE">
              <w:t>per</w:t>
            </w:r>
            <w:proofErr w:type="gramEnd"/>
            <w:r w:rsidRPr="00CF79AE">
              <w:t xml:space="preserve"> applicable trade agreement</w:t>
            </w:r>
          </w:p>
        </w:tc>
      </w:tr>
    </w:tbl>
    <w:p w14:paraId="62B5757C" w14:textId="77777777" w:rsidR="00CF79AE" w:rsidRPr="00CF79AE" w:rsidRDefault="00CF79AE" w:rsidP="00CF79AE">
      <w:pPr>
        <w:spacing w:after="0"/>
        <w:rPr>
          <w:b/>
        </w:rPr>
      </w:pPr>
      <w:r w:rsidRPr="00CF79AE">
        <w:t xml:space="preserve">         </w:t>
      </w:r>
      <w:r w:rsidRPr="00CF79AE">
        <w:tab/>
      </w:r>
    </w:p>
    <w:p w14:paraId="6668F7FA" w14:textId="6AD556F6" w:rsidR="00CF79AE" w:rsidRPr="00CF79AE" w:rsidRDefault="00CF79AE" w:rsidP="00CF79AE">
      <w:pPr>
        <w:spacing w:after="0"/>
        <w:rPr>
          <w:bCs/>
        </w:rPr>
      </w:pPr>
      <w:r w:rsidRPr="00CF79AE">
        <w:rPr>
          <w:bCs/>
        </w:rPr>
        <w:t xml:space="preserve">Competitive procurement thresholds for consulting services </w:t>
      </w:r>
      <w:r w:rsidR="009170ED" w:rsidRPr="00CF79AE">
        <w:rPr>
          <w:bCs/>
        </w:rPr>
        <w:t>are as</w:t>
      </w:r>
      <w:r w:rsidRPr="00CF79AE">
        <w:rPr>
          <w:bCs/>
        </w:rPr>
        <w:t xml:space="preserve"> follows: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7555"/>
      </w:tblGrid>
      <w:tr w:rsidR="00CF79AE" w:rsidRPr="00CF79AE" w14:paraId="11EE18F0" w14:textId="77777777" w:rsidTr="00014B79">
        <w:trPr>
          <w:trHeight w:val="549"/>
        </w:trPr>
        <w:tc>
          <w:tcPr>
            <w:tcW w:w="2430" w:type="dxa"/>
            <w:shd w:val="clear" w:color="auto" w:fill="D9D9D9" w:themeFill="background1" w:themeFillShade="D9"/>
            <w:vAlign w:val="center"/>
          </w:tcPr>
          <w:p w14:paraId="63FE1B2B" w14:textId="77777777" w:rsidR="00CF79AE" w:rsidRPr="00CF79AE" w:rsidRDefault="00CF79AE" w:rsidP="00CF79AE">
            <w:pPr>
              <w:rPr>
                <w:b/>
                <w:bCs/>
                <w:iCs/>
              </w:rPr>
            </w:pPr>
            <w:r w:rsidRPr="00CF79AE">
              <w:rPr>
                <w:b/>
                <w:bCs/>
                <w:iCs/>
              </w:rPr>
              <w:t>Procurement Value</w:t>
            </w:r>
          </w:p>
        </w:tc>
        <w:tc>
          <w:tcPr>
            <w:tcW w:w="7555" w:type="dxa"/>
            <w:shd w:val="clear" w:color="auto" w:fill="D9D9D9" w:themeFill="background1" w:themeFillShade="D9"/>
          </w:tcPr>
          <w:p w14:paraId="2665294C" w14:textId="77777777" w:rsidR="00CF79AE" w:rsidRPr="00CF79AE" w:rsidRDefault="00CF79AE" w:rsidP="00CF79AE">
            <w:pPr>
              <w:rPr>
                <w:b/>
                <w:bCs/>
                <w:iCs/>
              </w:rPr>
            </w:pPr>
            <w:r w:rsidRPr="00CF79AE">
              <w:rPr>
                <w:b/>
                <w:bCs/>
                <w:iCs/>
              </w:rPr>
              <w:t>Requirement</w:t>
            </w:r>
          </w:p>
        </w:tc>
      </w:tr>
      <w:tr w:rsidR="00CF79AE" w:rsidRPr="00CF79AE" w14:paraId="60AAF63E" w14:textId="77777777" w:rsidTr="00014B79">
        <w:tc>
          <w:tcPr>
            <w:tcW w:w="2430" w:type="dxa"/>
            <w:shd w:val="clear" w:color="auto" w:fill="auto"/>
          </w:tcPr>
          <w:p w14:paraId="763F57DF" w14:textId="072F996A" w:rsidR="00CF79AE" w:rsidRPr="00CF79AE" w:rsidRDefault="00CF79AE" w:rsidP="00CF79AE">
            <w:r w:rsidRPr="00CF79AE">
              <w:t>$0 – $</w:t>
            </w:r>
            <w:r w:rsidR="006E1727">
              <w:t>121,200</w:t>
            </w:r>
            <w:r w:rsidRPr="00CF79AE">
              <w:t xml:space="preserve">                   </w:t>
            </w:r>
          </w:p>
        </w:tc>
        <w:tc>
          <w:tcPr>
            <w:tcW w:w="7555" w:type="dxa"/>
            <w:shd w:val="clear" w:color="auto" w:fill="auto"/>
          </w:tcPr>
          <w:p w14:paraId="771AF80D" w14:textId="77777777" w:rsidR="00CF79AE" w:rsidRPr="00CF79AE" w:rsidRDefault="00CF79AE" w:rsidP="00CF79AE">
            <w:r w:rsidRPr="00CF79AE">
              <w:t>Three (3) invitational written quotations from qualified consultants</w:t>
            </w:r>
          </w:p>
        </w:tc>
      </w:tr>
      <w:tr w:rsidR="00CF79AE" w:rsidRPr="00CF79AE" w14:paraId="57648C28" w14:textId="77777777" w:rsidTr="00014B79">
        <w:tc>
          <w:tcPr>
            <w:tcW w:w="2430" w:type="dxa"/>
            <w:shd w:val="clear" w:color="auto" w:fill="auto"/>
          </w:tcPr>
          <w:p w14:paraId="19B59B8B" w14:textId="1C1B8EDB" w:rsidR="00CF79AE" w:rsidRPr="00CF79AE" w:rsidRDefault="00CF79AE" w:rsidP="00CF79AE">
            <w:r w:rsidRPr="00CF79AE">
              <w:t>$</w:t>
            </w:r>
            <w:r w:rsidR="006E1727">
              <w:t>121,200</w:t>
            </w:r>
            <w:r w:rsidRPr="00CF79AE">
              <w:t xml:space="preserve"> and over</w:t>
            </w:r>
          </w:p>
        </w:tc>
        <w:tc>
          <w:tcPr>
            <w:tcW w:w="7555" w:type="dxa"/>
            <w:shd w:val="clear" w:color="auto" w:fill="auto"/>
          </w:tcPr>
          <w:p w14:paraId="671CD000" w14:textId="77777777" w:rsidR="00CF79AE" w:rsidRPr="00CF79AE" w:rsidRDefault="00CF79AE" w:rsidP="00CF79AE">
            <w:r w:rsidRPr="00CF79AE">
              <w:t xml:space="preserve">Open competition RFx process advertised using an electronic bid service for </w:t>
            </w:r>
            <w:proofErr w:type="gramStart"/>
            <w:r w:rsidRPr="00CF79AE">
              <w:t>appropriate</w:t>
            </w:r>
            <w:proofErr w:type="gramEnd"/>
            <w:r w:rsidRPr="00CF79AE">
              <w:t xml:space="preserve"> number of calendar days as defined per applicable trade agreement</w:t>
            </w:r>
          </w:p>
        </w:tc>
      </w:tr>
    </w:tbl>
    <w:p w14:paraId="7E5FC8A7" w14:textId="136D62D6" w:rsidR="00CF79AE" w:rsidRPr="00CF79AE" w:rsidRDefault="00CF79AE" w:rsidP="00336693">
      <w:pPr>
        <w:spacing w:line="240" w:lineRule="auto"/>
      </w:pPr>
      <w:r>
        <w:t>P</w:t>
      </w:r>
      <w:r w:rsidRPr="00B850D3">
        <w:t xml:space="preserve">rocurement </w:t>
      </w:r>
      <w:r>
        <w:t>value excludes</w:t>
      </w:r>
      <w:r w:rsidRPr="00B850D3">
        <w:t xml:space="preserve"> applicable sales taxes</w:t>
      </w:r>
      <w:r>
        <w:t>.</w:t>
      </w:r>
      <w:r w:rsidR="007310D3">
        <w:t xml:space="preserve">  </w:t>
      </w:r>
    </w:p>
    <w:p w14:paraId="38F48993" w14:textId="1EEC4194" w:rsidR="00302876" w:rsidRPr="004536D6" w:rsidRDefault="00302876" w:rsidP="00302876">
      <w:pPr>
        <w:rPr>
          <w:b/>
          <w:bCs/>
          <w:u w:val="single"/>
        </w:rPr>
      </w:pPr>
      <w:r w:rsidRPr="004536D6">
        <w:rPr>
          <w:b/>
          <w:bCs/>
          <w:u w:val="single"/>
        </w:rPr>
        <w:t>Invitation to Quote (ITQ) Templates</w:t>
      </w:r>
    </w:p>
    <w:p w14:paraId="3876A9E4" w14:textId="290CA2AE" w:rsidR="00302876" w:rsidRPr="00B72982" w:rsidRDefault="00B72982" w:rsidP="006E1727">
      <w:pPr>
        <w:pStyle w:val="ListParagraph"/>
        <w:numPr>
          <w:ilvl w:val="0"/>
          <w:numId w:val="1"/>
        </w:numPr>
        <w:rPr>
          <w:rStyle w:val="Hyperlink"/>
          <w:color w:val="auto"/>
          <w:u w:val="none"/>
        </w:rPr>
      </w:pPr>
      <w:hyperlink r:id="rId5" w:history="1">
        <w:r w:rsidR="00302876" w:rsidRPr="00B72982">
          <w:rPr>
            <w:rStyle w:val="Hyperlink"/>
          </w:rPr>
          <w:t>ITQ Goods</w:t>
        </w:r>
        <w:r w:rsidR="006E1727" w:rsidRPr="00B72982">
          <w:rPr>
            <w:rStyle w:val="Hyperlink"/>
          </w:rPr>
          <w:t>/Services</w:t>
        </w:r>
      </w:hyperlink>
      <w:r w:rsidR="007233D3" w:rsidRPr="00B72982">
        <w:fldChar w:fldCharType="begin"/>
      </w:r>
      <w:r w:rsidR="00D02EDB" w:rsidRPr="00B72982">
        <w:instrText>HYPERLINK "\\\\trent.trentu.ca\\share\\Finance\\PURCHASE\\RFX and Procurement TEMPLATES\\ITQ Templates\\INVITATION TO QUOTE Services under $100K Trent template.docx"</w:instrText>
      </w:r>
      <w:r w:rsidR="007233D3" w:rsidRPr="00B72982">
        <w:fldChar w:fldCharType="separate"/>
      </w:r>
    </w:p>
    <w:p w14:paraId="4790E7BF" w14:textId="61186C2A" w:rsidR="00302876" w:rsidRPr="00B72982" w:rsidRDefault="007233D3" w:rsidP="00302876">
      <w:pPr>
        <w:pStyle w:val="ListParagraph"/>
        <w:numPr>
          <w:ilvl w:val="0"/>
          <w:numId w:val="1"/>
        </w:numPr>
      </w:pPr>
      <w:r w:rsidRPr="00B72982">
        <w:fldChar w:fldCharType="end"/>
      </w:r>
      <w:hyperlink r:id="rId6" w:history="1">
        <w:r w:rsidR="00302876" w:rsidRPr="00B72982">
          <w:rPr>
            <w:rStyle w:val="Hyperlink"/>
          </w:rPr>
          <w:t xml:space="preserve">ITQ CFI Funded </w:t>
        </w:r>
        <w:r w:rsidR="000A1A67" w:rsidRPr="00B72982">
          <w:rPr>
            <w:rStyle w:val="Hyperlink"/>
          </w:rPr>
          <w:t>Procurements</w:t>
        </w:r>
      </w:hyperlink>
    </w:p>
    <w:p w14:paraId="2CE34B16" w14:textId="24248495" w:rsidR="00302876" w:rsidRPr="004536D6" w:rsidRDefault="00302876" w:rsidP="00302876">
      <w:pPr>
        <w:rPr>
          <w:b/>
          <w:bCs/>
          <w:u w:val="single"/>
        </w:rPr>
      </w:pPr>
      <w:r w:rsidRPr="004536D6">
        <w:rPr>
          <w:b/>
          <w:bCs/>
          <w:u w:val="single"/>
        </w:rPr>
        <w:t>Process for using ITQ Templates</w:t>
      </w:r>
    </w:p>
    <w:p w14:paraId="0AD71212" w14:textId="71A765CF" w:rsidR="00302876" w:rsidRDefault="00302876" w:rsidP="00302876">
      <w:pPr>
        <w:pStyle w:val="ListParagraph"/>
        <w:numPr>
          <w:ilvl w:val="0"/>
          <w:numId w:val="2"/>
        </w:numPr>
      </w:pPr>
      <w:r>
        <w:t xml:space="preserve">Download the appropriate </w:t>
      </w:r>
      <w:r w:rsidR="00A70ACC">
        <w:t xml:space="preserve">ITQ </w:t>
      </w:r>
      <w:r>
        <w:t xml:space="preserve">template </w:t>
      </w:r>
    </w:p>
    <w:p w14:paraId="2B33021F" w14:textId="4E85E8A4" w:rsidR="00302876" w:rsidRDefault="00BB221A" w:rsidP="00302876">
      <w:pPr>
        <w:pStyle w:val="ListParagraph"/>
        <w:numPr>
          <w:ilvl w:val="0"/>
          <w:numId w:val="2"/>
        </w:numPr>
      </w:pPr>
      <w:r>
        <w:t>Prepare</w:t>
      </w:r>
      <w:r w:rsidR="00302876">
        <w:t xml:space="preserve"> the ITQ</w:t>
      </w:r>
      <w:r w:rsidR="00CE34A0">
        <w:t xml:space="preserve"> </w:t>
      </w:r>
      <w:r>
        <w:t xml:space="preserve">template </w:t>
      </w:r>
      <w:r w:rsidR="0012081E">
        <w:t>by providing</w:t>
      </w:r>
      <w:r w:rsidR="00302876">
        <w:t>:</w:t>
      </w:r>
    </w:p>
    <w:p w14:paraId="00DF8573" w14:textId="028FFCA9" w:rsidR="00302876" w:rsidRDefault="00302876" w:rsidP="00302876">
      <w:pPr>
        <w:pStyle w:val="ListParagraph"/>
        <w:numPr>
          <w:ilvl w:val="1"/>
          <w:numId w:val="2"/>
        </w:numPr>
      </w:pPr>
      <w:r>
        <w:lastRenderedPageBreak/>
        <w:t>Timetab</w:t>
      </w:r>
      <w:r w:rsidR="00CE34A0">
        <w:t>le (</w:t>
      </w:r>
      <w:r w:rsidR="00FB26A5">
        <w:t>identify an</w:t>
      </w:r>
      <w:r w:rsidR="00A70ACC">
        <w:t xml:space="preserve"> </w:t>
      </w:r>
      <w:r w:rsidR="00CE34A0">
        <w:t xml:space="preserve">issue </w:t>
      </w:r>
      <w:r w:rsidR="007802FE">
        <w:t xml:space="preserve">date </w:t>
      </w:r>
      <w:r w:rsidR="00CE34A0">
        <w:t>and</w:t>
      </w:r>
      <w:r w:rsidR="007802FE">
        <w:t xml:space="preserve"> </w:t>
      </w:r>
      <w:r w:rsidR="00CE34A0">
        <w:t>due date)</w:t>
      </w:r>
    </w:p>
    <w:p w14:paraId="6B2D015B" w14:textId="1175BA02" w:rsidR="00CE34A0" w:rsidRDefault="00A70ACC" w:rsidP="00302876">
      <w:pPr>
        <w:pStyle w:val="ListParagraph"/>
        <w:numPr>
          <w:ilvl w:val="1"/>
          <w:numId w:val="2"/>
        </w:numPr>
      </w:pPr>
      <w:r>
        <w:t xml:space="preserve">Complete the </w:t>
      </w:r>
      <w:r w:rsidR="00CE34A0">
        <w:t xml:space="preserve">University </w:t>
      </w:r>
      <w:r w:rsidR="00381C31">
        <w:t>C</w:t>
      </w:r>
      <w:r w:rsidR="00CE34A0">
        <w:t xml:space="preserve">ontact </w:t>
      </w:r>
      <w:r w:rsidR="00381C31">
        <w:t>I</w:t>
      </w:r>
      <w:r w:rsidR="00CE34A0">
        <w:t xml:space="preserve">nformation </w:t>
      </w:r>
      <w:r>
        <w:t>section</w:t>
      </w:r>
    </w:p>
    <w:p w14:paraId="4717E6B6" w14:textId="5DEBF711" w:rsidR="006E1727" w:rsidRDefault="006E1727" w:rsidP="00302876">
      <w:pPr>
        <w:pStyle w:val="ListParagraph"/>
        <w:numPr>
          <w:ilvl w:val="1"/>
          <w:numId w:val="2"/>
        </w:numPr>
      </w:pPr>
      <w:r>
        <w:t>Outline the requirements of</w:t>
      </w:r>
      <w:r w:rsidR="00CE34A0">
        <w:t xml:space="preserve"> the</w:t>
      </w:r>
      <w:r w:rsidR="007D3269">
        <w:t xml:space="preserve"> goods or services</w:t>
      </w:r>
      <w:r w:rsidR="00CE34A0">
        <w:t xml:space="preserve"> for the </w:t>
      </w:r>
      <w:r>
        <w:t>Vendor</w:t>
      </w:r>
      <w:r w:rsidR="00A70ACC">
        <w:t xml:space="preserve"> to provide </w:t>
      </w:r>
      <w:r w:rsidR="007D3269">
        <w:t xml:space="preserve">a </w:t>
      </w:r>
      <w:r w:rsidR="00A70ACC">
        <w:t>quote</w:t>
      </w:r>
      <w:r w:rsidR="007233D3">
        <w:t xml:space="preserve"> adjusting template require</w:t>
      </w:r>
      <w:r w:rsidR="009170ED">
        <w:t>ment fields as needed</w:t>
      </w:r>
      <w:r w:rsidR="000E61D7">
        <w:t xml:space="preserve">.  Focus on performance and functional specifications rather than design characteristics. </w:t>
      </w:r>
    </w:p>
    <w:p w14:paraId="78FBAFDF" w14:textId="5652021D" w:rsidR="00CE34A0" w:rsidRDefault="006E1727" w:rsidP="00302876">
      <w:pPr>
        <w:pStyle w:val="ListParagraph"/>
        <w:numPr>
          <w:ilvl w:val="1"/>
          <w:numId w:val="2"/>
        </w:numPr>
      </w:pPr>
      <w:r>
        <w:t xml:space="preserve">Select the method of evaluation.  If using a rated criterion, define what the Vendor should submit per the criteria and assign appropriate weighting.  </w:t>
      </w:r>
      <w:r w:rsidRPr="00754D4D">
        <w:t>Building Ontario Businesses Initiative Act (BOBIA)</w:t>
      </w:r>
      <w:r>
        <w:t xml:space="preserve"> preferential margin defined at 10% scoring weight.</w:t>
      </w:r>
      <w:r w:rsidR="009170ED">
        <w:t xml:space="preserve">  Refer to </w:t>
      </w:r>
      <w:r w:rsidR="006A2EC4">
        <w:t xml:space="preserve">preferential margin and </w:t>
      </w:r>
      <w:r w:rsidR="009170ED">
        <w:t>scoring examples below.</w:t>
      </w:r>
    </w:p>
    <w:p w14:paraId="1457AA14" w14:textId="26D05E37" w:rsidR="00BB221A" w:rsidRDefault="00BB221A" w:rsidP="00BB221A">
      <w:pPr>
        <w:pStyle w:val="ListParagraph"/>
        <w:numPr>
          <w:ilvl w:val="1"/>
          <w:numId w:val="2"/>
        </w:numPr>
      </w:pPr>
      <w:r>
        <w:t>Forward</w:t>
      </w:r>
      <w:r w:rsidR="009170ED">
        <w:t xml:space="preserve">, via email, </w:t>
      </w:r>
      <w:r>
        <w:t>the ITQ to</w:t>
      </w:r>
      <w:r w:rsidR="007D3269">
        <w:t xml:space="preserve"> the invited</w:t>
      </w:r>
      <w:r w:rsidR="007802FE">
        <w:t xml:space="preserve"> </w:t>
      </w:r>
      <w:r w:rsidR="006E1727">
        <w:t>Vendors</w:t>
      </w:r>
      <w:r>
        <w:t xml:space="preserve"> ensuring the appropriate minimal number of </w:t>
      </w:r>
      <w:r w:rsidR="006E1727">
        <w:t>Vendors</w:t>
      </w:r>
      <w:r>
        <w:t xml:space="preserve"> are invited per competitive quote requirement</w:t>
      </w:r>
    </w:p>
    <w:p w14:paraId="5682A6D0" w14:textId="064C09B0" w:rsidR="00CE34A0" w:rsidRDefault="00CE34A0" w:rsidP="00CE34A0">
      <w:pPr>
        <w:pStyle w:val="ListParagraph"/>
        <w:numPr>
          <w:ilvl w:val="0"/>
          <w:numId w:val="2"/>
        </w:numPr>
      </w:pPr>
      <w:r>
        <w:t>When</w:t>
      </w:r>
      <w:r w:rsidR="00A70ACC">
        <w:t xml:space="preserve"> the</w:t>
      </w:r>
      <w:r>
        <w:t xml:space="preserve"> IT</w:t>
      </w:r>
      <w:r w:rsidR="00A70ACC">
        <w:t>Q</w:t>
      </w:r>
      <w:r>
        <w:t xml:space="preserve"> closes, review all received quotations</w:t>
      </w:r>
      <w:r w:rsidR="00A70ACC">
        <w:t xml:space="preserve"> and</w:t>
      </w:r>
      <w:r>
        <w:t xml:space="preserve"> ensur</w:t>
      </w:r>
      <w:r w:rsidR="00A70ACC">
        <w:t>e</w:t>
      </w:r>
      <w:r>
        <w:t xml:space="preserve"> IT</w:t>
      </w:r>
      <w:r w:rsidR="00A70ACC">
        <w:t>Q</w:t>
      </w:r>
      <w:r>
        <w:t xml:space="preserve"> has been signed</w:t>
      </w:r>
      <w:r w:rsidR="00BB221A">
        <w:t xml:space="preserve"> and completed appropriately</w:t>
      </w:r>
      <w:r>
        <w:t xml:space="preserve"> by the </w:t>
      </w:r>
      <w:r w:rsidR="007310D3">
        <w:t>Vendor</w:t>
      </w:r>
      <w:r>
        <w:t>.</w:t>
      </w:r>
      <w:r w:rsidR="009170ED">
        <w:t xml:space="preserve">  Score quote submissions by the defined methodology.</w:t>
      </w:r>
    </w:p>
    <w:p w14:paraId="54008A9A" w14:textId="0B65B0C1" w:rsidR="000E61D7" w:rsidRDefault="009170ED" w:rsidP="00CE34A0">
      <w:pPr>
        <w:pStyle w:val="ListParagraph"/>
        <w:numPr>
          <w:ilvl w:val="0"/>
          <w:numId w:val="2"/>
        </w:numPr>
      </w:pPr>
      <w:r>
        <w:t>When/if</w:t>
      </w:r>
      <w:r w:rsidR="00CE34A0">
        <w:t xml:space="preserve"> a quotation</w:t>
      </w:r>
      <w:r w:rsidR="00BB221A">
        <w:t xml:space="preserve"> is selected</w:t>
      </w:r>
      <w:r w:rsidR="00CE34A0">
        <w:t>, prepare a requisition for P</w:t>
      </w:r>
      <w:r w:rsidR="006E1727">
        <w:t>rocurement</w:t>
      </w:r>
      <w:r w:rsidR="00CE34A0">
        <w:t xml:space="preserve"> to </w:t>
      </w:r>
      <w:r w:rsidR="000E61D7">
        <w:t>review</w:t>
      </w:r>
      <w:r w:rsidR="00E32320">
        <w:t>, approve</w:t>
      </w:r>
      <w:r w:rsidR="000E61D7">
        <w:t xml:space="preserve"> and </w:t>
      </w:r>
      <w:r w:rsidR="00CE34A0">
        <w:t xml:space="preserve">place a Purchase Order with </w:t>
      </w:r>
      <w:r w:rsidR="007310D3">
        <w:t>Vendor</w:t>
      </w:r>
      <w:r w:rsidR="00CE34A0">
        <w:t xml:space="preserve">.  </w:t>
      </w:r>
    </w:p>
    <w:p w14:paraId="6A96DAA6" w14:textId="3FE129C9" w:rsidR="00972BE1" w:rsidRDefault="00CE34A0" w:rsidP="00CE34A0">
      <w:pPr>
        <w:pStyle w:val="ListParagraph"/>
        <w:numPr>
          <w:ilvl w:val="0"/>
          <w:numId w:val="2"/>
        </w:numPr>
      </w:pPr>
      <w:r>
        <w:t xml:space="preserve">Forward all </w:t>
      </w:r>
      <w:r w:rsidR="00BB221A">
        <w:t xml:space="preserve">received </w:t>
      </w:r>
      <w:r>
        <w:t xml:space="preserve">documentation of </w:t>
      </w:r>
      <w:r w:rsidR="00BB221A">
        <w:t xml:space="preserve">the </w:t>
      </w:r>
      <w:r>
        <w:t>quote process to P</w:t>
      </w:r>
      <w:r w:rsidR="006E1727">
        <w:t>rocurement</w:t>
      </w:r>
      <w:r>
        <w:t xml:space="preserve"> Services including any </w:t>
      </w:r>
      <w:r w:rsidR="007310D3">
        <w:t>Vendor</w:t>
      </w:r>
      <w:r>
        <w:t xml:space="preserve"> </w:t>
      </w:r>
      <w:r w:rsidR="00972BE1">
        <w:t xml:space="preserve">“no quotation” </w:t>
      </w:r>
      <w:r>
        <w:t>responses</w:t>
      </w:r>
      <w:r w:rsidR="000E61D7">
        <w:t xml:space="preserve">.  Documentation to be </w:t>
      </w:r>
      <w:r w:rsidR="005C1CA2">
        <w:t>retained by P</w:t>
      </w:r>
      <w:r w:rsidR="006E1727">
        <w:t>rocurement</w:t>
      </w:r>
      <w:r w:rsidR="007D3269">
        <w:t xml:space="preserve"> Services</w:t>
      </w:r>
      <w:r w:rsidR="005C1CA2">
        <w:t xml:space="preserve"> for </w:t>
      </w:r>
      <w:r w:rsidR="000E61D7">
        <w:t>audit purposes</w:t>
      </w:r>
      <w:r w:rsidR="00972BE1">
        <w:t>.</w:t>
      </w:r>
    </w:p>
    <w:p w14:paraId="1623B45B" w14:textId="369A8523" w:rsidR="005C1CA2" w:rsidRDefault="00972BE1" w:rsidP="005C1CA2">
      <w:pPr>
        <w:pStyle w:val="ListParagraph"/>
        <w:numPr>
          <w:ilvl w:val="0"/>
          <w:numId w:val="2"/>
        </w:numPr>
      </w:pPr>
      <w:r>
        <w:t>There is no obligation to make a purchase resulting from any quotation solicitation</w:t>
      </w:r>
    </w:p>
    <w:p w14:paraId="0EDA0A64" w14:textId="6804FE50" w:rsidR="00CF1168" w:rsidRDefault="00CF1168" w:rsidP="00CF1168">
      <w:pPr>
        <w:jc w:val="both"/>
        <w:rPr>
          <w:szCs w:val="24"/>
        </w:rPr>
      </w:pPr>
      <w:r w:rsidRPr="00CF1168">
        <w:rPr>
          <w:szCs w:val="20"/>
        </w:rPr>
        <w:t xml:space="preserve">For non-competitive procurements in which the acquisition of a deliverable does not comply with the competitive bidding requirements, authorizations are required.  </w:t>
      </w:r>
      <w:r w:rsidRPr="00CF1168">
        <w:rPr>
          <w:szCs w:val="24"/>
        </w:rPr>
        <w:t xml:space="preserve">The requisitioning department authorized account holder must complete the </w:t>
      </w:r>
      <w:bookmarkStart w:id="0" w:name="_Toc500432796"/>
      <w:r w:rsidR="00325044">
        <w:rPr>
          <w:szCs w:val="24"/>
        </w:rPr>
        <w:fldChar w:fldCharType="begin"/>
      </w:r>
      <w:r w:rsidR="00325044">
        <w:rPr>
          <w:szCs w:val="24"/>
        </w:rPr>
        <w:instrText>HYPERLINK "S:\\Finance\\PURCHASE\\RFX and Procurement TEMPLATES\\Trent - Non-Competitive Procurement Approval Form r2024.docx"</w:instrText>
      </w:r>
      <w:r w:rsidR="00325044">
        <w:rPr>
          <w:szCs w:val="24"/>
        </w:rPr>
      </w:r>
      <w:r w:rsidR="00325044">
        <w:rPr>
          <w:szCs w:val="24"/>
        </w:rPr>
        <w:fldChar w:fldCharType="separate"/>
      </w:r>
      <w:r w:rsidRPr="00325044">
        <w:rPr>
          <w:rStyle w:val="Hyperlink"/>
          <w:szCs w:val="24"/>
        </w:rPr>
        <w:t xml:space="preserve">Non-Competitive Procurement </w:t>
      </w:r>
      <w:r w:rsidRPr="00325044">
        <w:rPr>
          <w:rStyle w:val="Hyperlink"/>
          <w:iCs/>
          <w:szCs w:val="24"/>
          <w:lang w:val="en-CA"/>
        </w:rPr>
        <w:t>Approval Form</w:t>
      </w:r>
      <w:bookmarkEnd w:id="0"/>
      <w:r w:rsidR="00325044">
        <w:rPr>
          <w:szCs w:val="24"/>
        </w:rPr>
        <w:fldChar w:fldCharType="end"/>
      </w:r>
      <w:r w:rsidRPr="00CF1168">
        <w:rPr>
          <w:szCs w:val="24"/>
        </w:rPr>
        <w:t xml:space="preserve"> to obtain approval for </w:t>
      </w:r>
      <w:r w:rsidRPr="00CF1168">
        <w:rPr>
          <w:szCs w:val="24"/>
        </w:rPr>
        <w:t>non</w:t>
      </w:r>
      <w:r w:rsidRPr="00CF1168">
        <w:rPr>
          <w:szCs w:val="24"/>
        </w:rPr>
        <w:t xml:space="preserve">-competitive procurement. </w:t>
      </w:r>
    </w:p>
    <w:p w14:paraId="1446A3E6" w14:textId="1DD2103E" w:rsidR="00325044" w:rsidRPr="00FD6D05" w:rsidRDefault="00325044" w:rsidP="00325044">
      <w:pPr>
        <w:jc w:val="both"/>
        <w:rPr>
          <w:b/>
          <w:bCs/>
          <w:szCs w:val="24"/>
          <w:u w:val="single"/>
        </w:rPr>
      </w:pPr>
      <w:r w:rsidRPr="00FD6D05">
        <w:rPr>
          <w:b/>
          <w:bCs/>
          <w:szCs w:val="24"/>
          <w:u w:val="single"/>
        </w:rPr>
        <w:t>Seeking Budgetary Quote Requests</w:t>
      </w:r>
    </w:p>
    <w:p w14:paraId="1ECE650F" w14:textId="39FE07CD" w:rsidR="00BC2F14" w:rsidRDefault="00325044" w:rsidP="001852B0">
      <w:pPr>
        <w:jc w:val="both"/>
        <w:rPr>
          <w:szCs w:val="24"/>
        </w:rPr>
      </w:pPr>
      <w:r>
        <w:rPr>
          <w:szCs w:val="24"/>
        </w:rPr>
        <w:t xml:space="preserve">An ITQ Template can be used to seek budgetary quote requests from vendors.  </w:t>
      </w:r>
      <w:r w:rsidRPr="00FD6D05">
        <w:rPr>
          <w:szCs w:val="24"/>
        </w:rPr>
        <w:t xml:space="preserve">When building a budget for a research project or other, the University may request a Budgetary Quote from the </w:t>
      </w:r>
      <w:r>
        <w:rPr>
          <w:szCs w:val="24"/>
        </w:rPr>
        <w:t>Vendo</w:t>
      </w:r>
      <w:r w:rsidR="001852B0">
        <w:rPr>
          <w:szCs w:val="24"/>
        </w:rPr>
        <w:t>r i</w:t>
      </w:r>
      <w:r w:rsidRPr="00FD6D05">
        <w:rPr>
          <w:szCs w:val="24"/>
        </w:rPr>
        <w:t>ndicat</w:t>
      </w:r>
      <w:r w:rsidR="001852B0">
        <w:rPr>
          <w:szCs w:val="24"/>
        </w:rPr>
        <w:t>ing</w:t>
      </w:r>
      <w:r w:rsidRPr="00FD6D05">
        <w:rPr>
          <w:szCs w:val="24"/>
        </w:rPr>
        <w:t xml:space="preserve"> “</w:t>
      </w:r>
      <w:r w:rsidRPr="006E1727">
        <w:rPr>
          <w:b/>
          <w:bCs/>
          <w:szCs w:val="24"/>
        </w:rPr>
        <w:t>ITQ is for budget purposes only</w:t>
      </w:r>
      <w:r w:rsidRPr="00FD6D05">
        <w:rPr>
          <w:szCs w:val="24"/>
        </w:rPr>
        <w:t>” when communicating request.</w:t>
      </w:r>
      <w:r>
        <w:rPr>
          <w:szCs w:val="24"/>
        </w:rPr>
        <w:t xml:space="preserve"> </w:t>
      </w:r>
      <w:r w:rsidR="001852B0">
        <w:rPr>
          <w:szCs w:val="24"/>
        </w:rPr>
        <w:t xml:space="preserve"> Budgetary requests are for information purposes only and do not exclude </w:t>
      </w:r>
      <w:r w:rsidR="001852B0" w:rsidRPr="001852B0">
        <w:rPr>
          <w:szCs w:val="24"/>
        </w:rPr>
        <w:t>the university’s requirement to engage in competitive procurement where required by Procurement Polic</w:t>
      </w:r>
      <w:r w:rsidR="001852B0">
        <w:rPr>
          <w:szCs w:val="24"/>
        </w:rPr>
        <w:t>y.</w:t>
      </w:r>
    </w:p>
    <w:p w14:paraId="5362A84D" w14:textId="77777777" w:rsidR="006A2EC4" w:rsidRPr="00B8632E" w:rsidRDefault="006A2EC4" w:rsidP="006A2EC4">
      <w:pPr>
        <w:rPr>
          <w:b/>
          <w:bCs/>
          <w:u w:val="single"/>
        </w:rPr>
      </w:pPr>
      <w:r w:rsidRPr="00B8632E">
        <w:rPr>
          <w:b/>
          <w:bCs/>
          <w:u w:val="single"/>
        </w:rPr>
        <w:t>Need Help?</w:t>
      </w:r>
    </w:p>
    <w:p w14:paraId="13A14757" w14:textId="0ADF77A7" w:rsidR="00BC2F14" w:rsidRDefault="006A2EC4" w:rsidP="006A2EC4">
      <w:pPr>
        <w:jc w:val="both"/>
        <w:rPr>
          <w:szCs w:val="24"/>
        </w:rPr>
      </w:pPr>
      <w:r>
        <w:t xml:space="preserve">Contact Procurement Services if any questions regarding the ITQ process at </w:t>
      </w:r>
      <w:hyperlink r:id="rId7" w:history="1">
        <w:r w:rsidRPr="00D71817">
          <w:rPr>
            <w:rStyle w:val="Hyperlink"/>
          </w:rPr>
          <w:t>purchasing@trentu.ca</w:t>
        </w:r>
      </w:hyperlink>
    </w:p>
    <w:p w14:paraId="3C40BFBF" w14:textId="77777777" w:rsidR="00BC2F14" w:rsidRDefault="00BC2F14" w:rsidP="001852B0">
      <w:pPr>
        <w:jc w:val="both"/>
        <w:rPr>
          <w:szCs w:val="24"/>
        </w:rPr>
      </w:pPr>
    </w:p>
    <w:p w14:paraId="3CADBD7C" w14:textId="77777777" w:rsidR="00BC2F14" w:rsidRDefault="00BC2F14" w:rsidP="001852B0">
      <w:pPr>
        <w:jc w:val="both"/>
        <w:rPr>
          <w:szCs w:val="24"/>
        </w:rPr>
      </w:pPr>
    </w:p>
    <w:p w14:paraId="0D39219F" w14:textId="77777777" w:rsidR="00BC2F14" w:rsidRDefault="00BC2F14" w:rsidP="001852B0">
      <w:pPr>
        <w:jc w:val="both"/>
        <w:rPr>
          <w:szCs w:val="24"/>
        </w:rPr>
      </w:pPr>
    </w:p>
    <w:p w14:paraId="4E3DC356" w14:textId="77777777" w:rsidR="00BC2F14" w:rsidRDefault="00BC2F14" w:rsidP="001852B0">
      <w:pPr>
        <w:jc w:val="both"/>
        <w:rPr>
          <w:szCs w:val="24"/>
        </w:rPr>
      </w:pPr>
    </w:p>
    <w:p w14:paraId="4FCBD7B7" w14:textId="77777777" w:rsidR="006A2EC4" w:rsidRPr="001852B0" w:rsidRDefault="006A2EC4" w:rsidP="001852B0">
      <w:pPr>
        <w:jc w:val="both"/>
        <w:rPr>
          <w:szCs w:val="24"/>
        </w:rPr>
      </w:pPr>
    </w:p>
    <w:p w14:paraId="7B9409A2" w14:textId="3DF48942" w:rsidR="001852B0" w:rsidRDefault="001852B0" w:rsidP="00BC2F14">
      <w:pPr>
        <w:pStyle w:val="Heading1"/>
        <w:jc w:val="center"/>
        <w:rPr>
          <w:lang w:val="en-CA"/>
        </w:rPr>
      </w:pPr>
      <w:r w:rsidRPr="001852B0">
        <w:rPr>
          <w:lang w:val="en-CA"/>
        </w:rPr>
        <w:lastRenderedPageBreak/>
        <w:t>BOBIA PREFERENTIAL MARGIN</w:t>
      </w:r>
    </w:p>
    <w:p w14:paraId="3445E444" w14:textId="77777777" w:rsidR="00BC2F14" w:rsidRPr="00BC2F14" w:rsidRDefault="00BC2F14" w:rsidP="00BC2F14">
      <w:pPr>
        <w:rPr>
          <w:lang w:val="en-CA"/>
        </w:rPr>
      </w:pPr>
    </w:p>
    <w:p w14:paraId="79B9A77D" w14:textId="5ED3BA04" w:rsidR="00CF1168" w:rsidRPr="00CF1168" w:rsidRDefault="00CF1168" w:rsidP="00CF1168">
      <w:pPr>
        <w:rPr>
          <w:b/>
          <w:iCs/>
          <w:u w:val="single"/>
          <w:lang w:val="en-CA"/>
        </w:rPr>
      </w:pPr>
      <w:r w:rsidRPr="00CF1168">
        <w:rPr>
          <w:b/>
          <w:iCs/>
          <w:u w:val="single"/>
          <w:lang w:val="en-CA"/>
        </w:rPr>
        <w:t>Example</w:t>
      </w:r>
      <w:r w:rsidR="001852B0">
        <w:rPr>
          <w:b/>
          <w:iCs/>
          <w:u w:val="single"/>
          <w:lang w:val="en-CA"/>
        </w:rPr>
        <w:t>s</w:t>
      </w:r>
      <w:r w:rsidRPr="00CF1168">
        <w:rPr>
          <w:b/>
          <w:iCs/>
          <w:u w:val="single"/>
          <w:lang w:val="en-CA"/>
        </w:rPr>
        <w:t xml:space="preserve"> of giving 10% preference to Ontario Businesses</w:t>
      </w:r>
    </w:p>
    <w:p w14:paraId="113C5C80" w14:textId="53B563EE" w:rsidR="00C81192" w:rsidRDefault="00CF1168" w:rsidP="00CF1168">
      <w:pPr>
        <w:rPr>
          <w:lang w:val="en-CA"/>
        </w:rPr>
      </w:pPr>
      <w:r w:rsidRPr="00CF1168">
        <w:rPr>
          <w:lang w:val="en-CA"/>
        </w:rPr>
        <w:t>The ITQ requires you to select an evaluation method when requesting quotes from invited vendors. Below are examples of how to conduct the evaluation for each method.</w:t>
      </w:r>
    </w:p>
    <w:p w14:paraId="02FC0069" w14:textId="77777777" w:rsidR="006A2EC4" w:rsidRPr="00CF1168" w:rsidRDefault="006A2EC4" w:rsidP="00CF1168">
      <w:pPr>
        <w:rPr>
          <w:lang w:val="en-CA"/>
        </w:rPr>
      </w:pPr>
    </w:p>
    <w:p w14:paraId="65F29893" w14:textId="5B64C677" w:rsidR="00CF1168" w:rsidRPr="006A2EC4" w:rsidRDefault="00CF1168" w:rsidP="006A2EC4">
      <w:pPr>
        <w:jc w:val="center"/>
        <w:rPr>
          <w:b/>
          <w:bCs/>
          <w:sz w:val="28"/>
          <w:szCs w:val="28"/>
          <w:lang w:val="en-CA"/>
        </w:rPr>
      </w:pPr>
      <w:r w:rsidRPr="006A2EC4">
        <w:rPr>
          <w:b/>
          <w:bCs/>
          <w:sz w:val="28"/>
          <w:szCs w:val="28"/>
          <w:lang w:val="en-CA"/>
        </w:rPr>
        <w:t xml:space="preserve">Price </w:t>
      </w:r>
      <w:r w:rsidR="009170ED" w:rsidRPr="006A2EC4">
        <w:rPr>
          <w:b/>
          <w:bCs/>
          <w:sz w:val="28"/>
          <w:szCs w:val="28"/>
          <w:lang w:val="en-CA"/>
        </w:rPr>
        <w:t xml:space="preserve">Only </w:t>
      </w:r>
      <w:r w:rsidRPr="006A2EC4">
        <w:rPr>
          <w:b/>
          <w:bCs/>
          <w:sz w:val="28"/>
          <w:szCs w:val="28"/>
          <w:lang w:val="en-CA"/>
        </w:rPr>
        <w:t xml:space="preserve">Evaluation Criteria </w:t>
      </w:r>
      <w:r w:rsidR="009170ED" w:rsidRPr="006A2EC4">
        <w:rPr>
          <w:b/>
          <w:bCs/>
          <w:sz w:val="28"/>
          <w:szCs w:val="28"/>
          <w:lang w:val="en-CA"/>
        </w:rPr>
        <w:t>(Section A of ITQ Evaluation</w:t>
      </w:r>
      <w:r w:rsidR="001852B0" w:rsidRPr="006A2EC4">
        <w:rPr>
          <w:b/>
          <w:bCs/>
          <w:sz w:val="28"/>
          <w:szCs w:val="28"/>
          <w:lang w:val="en-CA"/>
        </w:rPr>
        <w:t>):</w:t>
      </w:r>
    </w:p>
    <w:p w14:paraId="3912D0F3" w14:textId="77777777" w:rsidR="006A2EC4" w:rsidRPr="006A2EC4" w:rsidRDefault="006A2EC4" w:rsidP="006A2EC4">
      <w:pPr>
        <w:rPr>
          <w:b/>
          <w:bCs/>
          <w:lang w:val="en-CA"/>
        </w:rPr>
      </w:pPr>
    </w:p>
    <w:tbl>
      <w:tblPr>
        <w:tblStyle w:val="TableGrid"/>
        <w:tblpPr w:leftFromText="180" w:rightFromText="180" w:vertAnchor="text" w:horzAnchor="margin" w:tblpY="53"/>
        <w:tblW w:w="0" w:type="auto"/>
        <w:tblLook w:val="04A0" w:firstRow="1" w:lastRow="0" w:firstColumn="1" w:lastColumn="0" w:noHBand="0" w:noVBand="1"/>
      </w:tblPr>
      <w:tblGrid>
        <w:gridCol w:w="1838"/>
        <w:gridCol w:w="1843"/>
      </w:tblGrid>
      <w:tr w:rsidR="00CF1168" w:rsidRPr="00CF1168" w14:paraId="07E19EBB" w14:textId="77777777" w:rsidTr="00A43A7B">
        <w:trPr>
          <w:trHeight w:val="334"/>
        </w:trPr>
        <w:tc>
          <w:tcPr>
            <w:tcW w:w="1838" w:type="dxa"/>
            <w:tcBorders>
              <w:top w:val="single" w:sz="4" w:space="0" w:color="auto"/>
            </w:tcBorders>
            <w:shd w:val="clear" w:color="auto" w:fill="F2F2F2" w:themeFill="background1" w:themeFillShade="F2"/>
            <w:vAlign w:val="center"/>
          </w:tcPr>
          <w:p w14:paraId="26D41BDE" w14:textId="77777777" w:rsidR="00CF1168" w:rsidRPr="00CF1168" w:rsidRDefault="00CF1168" w:rsidP="009170ED">
            <w:pPr>
              <w:spacing w:after="160" w:line="259" w:lineRule="auto"/>
              <w:jc w:val="center"/>
            </w:pPr>
            <w:r w:rsidRPr="00CF1168">
              <w:rPr>
                <w:b/>
                <w:bCs/>
              </w:rPr>
              <w:t>Criteria</w:t>
            </w:r>
          </w:p>
        </w:tc>
        <w:tc>
          <w:tcPr>
            <w:tcW w:w="1843" w:type="dxa"/>
            <w:tcBorders>
              <w:top w:val="single" w:sz="4" w:space="0" w:color="auto"/>
            </w:tcBorders>
            <w:shd w:val="clear" w:color="auto" w:fill="F2F2F2" w:themeFill="background1" w:themeFillShade="F2"/>
            <w:vAlign w:val="center"/>
          </w:tcPr>
          <w:p w14:paraId="323DCCAC" w14:textId="77777777" w:rsidR="00CF1168" w:rsidRPr="00CF1168" w:rsidRDefault="00CF1168" w:rsidP="009170ED">
            <w:pPr>
              <w:spacing w:after="160" w:line="259" w:lineRule="auto"/>
              <w:jc w:val="center"/>
            </w:pPr>
            <w:r w:rsidRPr="00CF1168">
              <w:rPr>
                <w:b/>
                <w:bCs/>
              </w:rPr>
              <w:t>Weight (%)</w:t>
            </w:r>
          </w:p>
        </w:tc>
      </w:tr>
      <w:tr w:rsidR="00CF1168" w:rsidRPr="00CF1168" w14:paraId="5E600147" w14:textId="77777777" w:rsidTr="00A43A7B">
        <w:trPr>
          <w:trHeight w:val="551"/>
        </w:trPr>
        <w:tc>
          <w:tcPr>
            <w:tcW w:w="1838" w:type="dxa"/>
            <w:shd w:val="clear" w:color="auto" w:fill="F2F2F2" w:themeFill="background1" w:themeFillShade="F2"/>
            <w:vAlign w:val="center"/>
          </w:tcPr>
          <w:p w14:paraId="759320E8" w14:textId="77777777" w:rsidR="00CF1168" w:rsidRPr="00CF1168" w:rsidRDefault="00CF1168" w:rsidP="009170ED">
            <w:pPr>
              <w:spacing w:after="160" w:line="259" w:lineRule="auto"/>
              <w:jc w:val="center"/>
              <w:rPr>
                <w:b/>
                <w:bCs/>
              </w:rPr>
            </w:pPr>
            <w:r w:rsidRPr="00CF1168">
              <w:rPr>
                <w:b/>
                <w:bCs/>
              </w:rPr>
              <w:t>Price</w:t>
            </w:r>
          </w:p>
        </w:tc>
        <w:tc>
          <w:tcPr>
            <w:tcW w:w="1843" w:type="dxa"/>
            <w:vAlign w:val="center"/>
          </w:tcPr>
          <w:p w14:paraId="28624E3B" w14:textId="77777777" w:rsidR="00CF1168" w:rsidRPr="00CF1168" w:rsidRDefault="00CF1168" w:rsidP="009170ED">
            <w:pPr>
              <w:spacing w:after="160" w:line="259" w:lineRule="auto"/>
              <w:jc w:val="center"/>
              <w:rPr>
                <w:b/>
                <w:bCs/>
              </w:rPr>
            </w:pPr>
            <w:r w:rsidRPr="00CF1168">
              <w:rPr>
                <w:b/>
                <w:bCs/>
              </w:rPr>
              <w:t>90%</w:t>
            </w:r>
          </w:p>
        </w:tc>
      </w:tr>
      <w:tr w:rsidR="00CF1168" w:rsidRPr="00CF1168" w14:paraId="7294FFBE" w14:textId="77777777" w:rsidTr="00A43A7B">
        <w:trPr>
          <w:trHeight w:val="551"/>
        </w:trPr>
        <w:tc>
          <w:tcPr>
            <w:tcW w:w="1838" w:type="dxa"/>
            <w:shd w:val="clear" w:color="auto" w:fill="F2F2F2" w:themeFill="background1" w:themeFillShade="F2"/>
            <w:vAlign w:val="center"/>
          </w:tcPr>
          <w:p w14:paraId="241DE473" w14:textId="77777777" w:rsidR="00CF1168" w:rsidRPr="00CF1168" w:rsidRDefault="00CF1168" w:rsidP="009170ED">
            <w:pPr>
              <w:spacing w:after="160" w:line="259" w:lineRule="auto"/>
              <w:jc w:val="center"/>
            </w:pPr>
            <w:r w:rsidRPr="00CF1168">
              <w:t>Ontario Business Preferential Margin</w:t>
            </w:r>
          </w:p>
        </w:tc>
        <w:tc>
          <w:tcPr>
            <w:tcW w:w="1843" w:type="dxa"/>
            <w:vAlign w:val="center"/>
          </w:tcPr>
          <w:p w14:paraId="29D1D995" w14:textId="77777777" w:rsidR="00CF1168" w:rsidRPr="00CF1168" w:rsidRDefault="00CF1168" w:rsidP="009170ED">
            <w:pPr>
              <w:spacing w:after="160" w:line="259" w:lineRule="auto"/>
              <w:jc w:val="center"/>
              <w:rPr>
                <w:b/>
                <w:bCs/>
              </w:rPr>
            </w:pPr>
            <w:r w:rsidRPr="00CF1168">
              <w:rPr>
                <w:b/>
                <w:bCs/>
              </w:rPr>
              <w:t>10%</w:t>
            </w:r>
          </w:p>
        </w:tc>
      </w:tr>
      <w:tr w:rsidR="00CF1168" w:rsidRPr="00CF1168" w14:paraId="0201719A" w14:textId="77777777" w:rsidTr="00A43A7B">
        <w:trPr>
          <w:trHeight w:val="551"/>
        </w:trPr>
        <w:tc>
          <w:tcPr>
            <w:tcW w:w="1838" w:type="dxa"/>
            <w:shd w:val="clear" w:color="auto" w:fill="F2F2F2" w:themeFill="background1" w:themeFillShade="F2"/>
            <w:vAlign w:val="center"/>
          </w:tcPr>
          <w:p w14:paraId="59241B53" w14:textId="77777777" w:rsidR="00CF1168" w:rsidRPr="00CF1168" w:rsidRDefault="00CF1168" w:rsidP="009170ED">
            <w:pPr>
              <w:spacing w:after="160" w:line="259" w:lineRule="auto"/>
              <w:jc w:val="center"/>
              <w:rPr>
                <w:b/>
                <w:bCs/>
              </w:rPr>
            </w:pPr>
            <w:r w:rsidRPr="00CF1168">
              <w:rPr>
                <w:b/>
                <w:bCs/>
              </w:rPr>
              <w:t>Total</w:t>
            </w:r>
          </w:p>
        </w:tc>
        <w:tc>
          <w:tcPr>
            <w:tcW w:w="1843" w:type="dxa"/>
            <w:vAlign w:val="center"/>
          </w:tcPr>
          <w:p w14:paraId="5939305E" w14:textId="77777777" w:rsidR="00CF1168" w:rsidRPr="00CF1168" w:rsidRDefault="00CF1168" w:rsidP="009170ED">
            <w:pPr>
              <w:spacing w:after="160" w:line="259" w:lineRule="auto"/>
              <w:jc w:val="center"/>
              <w:rPr>
                <w:b/>
                <w:bCs/>
              </w:rPr>
            </w:pPr>
            <w:r w:rsidRPr="00CF1168">
              <w:rPr>
                <w:b/>
                <w:bCs/>
              </w:rPr>
              <w:t>100%</w:t>
            </w:r>
          </w:p>
        </w:tc>
      </w:tr>
    </w:tbl>
    <w:p w14:paraId="0C6FC032" w14:textId="77777777" w:rsidR="00CF1168" w:rsidRPr="00CF1168" w:rsidRDefault="00CF1168" w:rsidP="00CF1168">
      <w:pPr>
        <w:rPr>
          <w:lang w:val="en-CA"/>
        </w:rPr>
      </w:pPr>
      <w:r w:rsidRPr="00CF1168">
        <w:rPr>
          <w:lang w:val="en-CA"/>
        </w:rPr>
        <w:t>A price score is calculated for each supplier. The lowest price receives the highest score (e.g., 90 points). Suppliers with higher prices receive lower scores.</w:t>
      </w:r>
    </w:p>
    <w:p w14:paraId="362CE7D4" w14:textId="77777777" w:rsidR="00CF1168" w:rsidRPr="00CF1168" w:rsidRDefault="00CF1168" w:rsidP="00CF1168">
      <w:pPr>
        <w:rPr>
          <w:lang w:val="en-CA"/>
        </w:rPr>
      </w:pPr>
      <w:r w:rsidRPr="00CF1168">
        <w:rPr>
          <w:lang w:val="en-CA"/>
        </w:rPr>
        <w:t>For instance, if Supplier B offers the lowest price, they would receive the maximum score of 90 points.</w:t>
      </w:r>
    </w:p>
    <w:p w14:paraId="5C9C248F" w14:textId="77777777" w:rsidR="00CF1168" w:rsidRPr="00CF1168" w:rsidRDefault="00CF1168" w:rsidP="00CF1168">
      <w:pPr>
        <w:rPr>
          <w:lang w:val="en-CA"/>
        </w:rPr>
      </w:pPr>
      <w:r w:rsidRPr="00CF1168">
        <w:rPr>
          <w:lang w:val="en-CA"/>
        </w:rPr>
        <w:t>To calculate the score for Supplier A, the following formula is applied:</w:t>
      </w:r>
    </w:p>
    <w:p w14:paraId="6D3378A2" w14:textId="77777777" w:rsidR="00CF1168" w:rsidRPr="00CF1168" w:rsidRDefault="00CF1168" w:rsidP="00CF1168">
      <w:pPr>
        <w:rPr>
          <w:lang w:val="en-CA"/>
        </w:rPr>
      </w:pPr>
      <w:r w:rsidRPr="00CF1168">
        <w:rPr>
          <w:lang w:val="en-CA"/>
        </w:rPr>
        <w:t>Price Score = 90 x [(Lowest Supplier Price / Supplier A Price)]</w:t>
      </w:r>
    </w:p>
    <w:p w14:paraId="6AA7D443" w14:textId="77777777" w:rsidR="00CF1168" w:rsidRPr="00CF1168" w:rsidRDefault="00CF1168" w:rsidP="00CF1168">
      <w:pPr>
        <w:rPr>
          <w:lang w:val="en-CA"/>
        </w:rPr>
      </w:pPr>
      <w:r w:rsidRPr="00CF1168">
        <w:rPr>
          <w:lang w:val="en-CA"/>
        </w:rPr>
        <w:t xml:space="preserve">Using the example provided: </w:t>
      </w:r>
    </w:p>
    <w:p w14:paraId="43870075" w14:textId="77777777" w:rsidR="00CF1168" w:rsidRPr="00CF1168" w:rsidRDefault="00CF1168" w:rsidP="00CF1168">
      <w:pPr>
        <w:numPr>
          <w:ilvl w:val="0"/>
          <w:numId w:val="5"/>
        </w:numPr>
        <w:spacing w:after="0"/>
        <w:rPr>
          <w:lang w:val="en-CA"/>
        </w:rPr>
      </w:pPr>
      <w:r w:rsidRPr="00CF1168">
        <w:rPr>
          <w:lang w:val="en-CA"/>
        </w:rPr>
        <w:t>Supplier B offers a price of $25,000 (the lowest score and receives maximum score of 90 points)</w:t>
      </w:r>
    </w:p>
    <w:p w14:paraId="2D29547C" w14:textId="77777777" w:rsidR="00CF1168" w:rsidRDefault="00CF1168" w:rsidP="00CF1168">
      <w:pPr>
        <w:numPr>
          <w:ilvl w:val="0"/>
          <w:numId w:val="5"/>
        </w:numPr>
        <w:spacing w:after="0"/>
        <w:rPr>
          <w:lang w:val="en-CA"/>
        </w:rPr>
      </w:pPr>
      <w:r w:rsidRPr="00CF1168">
        <w:rPr>
          <w:lang w:val="en-CA"/>
        </w:rPr>
        <w:t>Supplier A offers a price of $27,500</w:t>
      </w:r>
    </w:p>
    <w:p w14:paraId="00568123" w14:textId="3A1FFE68" w:rsidR="009170ED" w:rsidRDefault="009170ED" w:rsidP="00CF1168">
      <w:pPr>
        <w:numPr>
          <w:ilvl w:val="0"/>
          <w:numId w:val="5"/>
        </w:numPr>
        <w:spacing w:after="0"/>
        <w:rPr>
          <w:lang w:val="en-CA"/>
        </w:rPr>
      </w:pPr>
      <w:r>
        <w:rPr>
          <w:lang w:val="en-CA"/>
        </w:rPr>
        <w:t>Supplier C offers a price of $30,000</w:t>
      </w:r>
    </w:p>
    <w:p w14:paraId="797569A5" w14:textId="77777777" w:rsidR="00CF1168" w:rsidRPr="00CF1168" w:rsidRDefault="00CF1168" w:rsidP="00CF1168">
      <w:pPr>
        <w:spacing w:after="0"/>
        <w:ind w:left="720"/>
        <w:rPr>
          <w:lang w:val="en-CA"/>
        </w:rPr>
      </w:pPr>
    </w:p>
    <w:p w14:paraId="259AD391" w14:textId="77777777" w:rsidR="00CF1168" w:rsidRPr="00CF1168" w:rsidRDefault="00CF1168" w:rsidP="00CF1168">
      <w:pPr>
        <w:rPr>
          <w:lang w:val="en-CA"/>
        </w:rPr>
      </w:pPr>
      <w:r w:rsidRPr="00CF1168">
        <w:rPr>
          <w:lang w:val="en-CA"/>
        </w:rPr>
        <w:t>Supplier A's pricing score is calculated as follows:</w:t>
      </w:r>
    </w:p>
    <w:p w14:paraId="3FB33632" w14:textId="77777777" w:rsidR="00CF1168" w:rsidRPr="00CF1168" w:rsidRDefault="00CF1168" w:rsidP="00CF1168">
      <w:pPr>
        <w:numPr>
          <w:ilvl w:val="0"/>
          <w:numId w:val="5"/>
        </w:numPr>
        <w:rPr>
          <w:lang w:val="en-CA"/>
        </w:rPr>
      </w:pPr>
      <w:r w:rsidRPr="00CF1168">
        <w:rPr>
          <w:lang w:val="en-CA"/>
        </w:rPr>
        <w:t>Price Score = 90 x [(Supplier B $25,000) / (Supplier A $27,500)] = 81.8 points.</w:t>
      </w:r>
    </w:p>
    <w:p w14:paraId="5932F1CE" w14:textId="77777777" w:rsidR="00CF1168" w:rsidRPr="00CF1168" w:rsidRDefault="00CF1168" w:rsidP="00CF1168">
      <w:pPr>
        <w:rPr>
          <w:lang w:val="en-CA"/>
        </w:rPr>
      </w:pPr>
      <w:r w:rsidRPr="00CF1168">
        <w:rPr>
          <w:lang w:val="en-CA"/>
        </w:rPr>
        <w:t>The same calculation would apply to Supplier C.</w:t>
      </w:r>
    </w:p>
    <w:p w14:paraId="3CD826C7" w14:textId="77777777" w:rsidR="0005519F" w:rsidRDefault="00CF1168" w:rsidP="00CF1168">
      <w:pPr>
        <w:rPr>
          <w:lang w:val="en-CA"/>
        </w:rPr>
      </w:pPr>
      <w:r w:rsidRPr="00CF1168">
        <w:rPr>
          <w:lang w:val="en-CA"/>
        </w:rPr>
        <w:t xml:space="preserve">In this example, the Ontario business should be selected based on the total score. </w:t>
      </w:r>
    </w:p>
    <w:p w14:paraId="42AA0EE6" w14:textId="77777777" w:rsidR="006A2EC4" w:rsidRDefault="006A2EC4" w:rsidP="00CF1168">
      <w:pPr>
        <w:rPr>
          <w:lang w:val="en-CA"/>
        </w:rPr>
      </w:pPr>
    </w:p>
    <w:p w14:paraId="6ECE46C8" w14:textId="01E17DF7" w:rsidR="00CF1168" w:rsidRDefault="0005519F" w:rsidP="00CF1168">
      <w:pPr>
        <w:rPr>
          <w:lang w:val="en-CA"/>
        </w:rPr>
      </w:pPr>
      <w:r>
        <w:rPr>
          <w:lang w:val="en-CA"/>
        </w:rPr>
        <w:t>If a Non-Ontario Vendor were the top ranked, would need to c</w:t>
      </w:r>
      <w:r w:rsidR="00CF1168" w:rsidRPr="00CF1168">
        <w:rPr>
          <w:lang w:val="en-CA"/>
        </w:rPr>
        <w:t>omplete the</w:t>
      </w:r>
      <w:r w:rsidR="00325044">
        <w:rPr>
          <w:lang w:val="en-CA"/>
        </w:rPr>
        <w:t xml:space="preserve"> </w:t>
      </w:r>
      <w:hyperlink r:id="rId8" w:history="1">
        <w:r w:rsidR="00325044" w:rsidRPr="00325044">
          <w:rPr>
            <w:rStyle w:val="Hyperlink"/>
            <w:lang w:val="en-CA"/>
          </w:rPr>
          <w:t>Non-Ontario Business Procurement</w:t>
        </w:r>
        <w:r w:rsidR="00CF1168" w:rsidRPr="00CF1168">
          <w:rPr>
            <w:rStyle w:val="Hyperlink"/>
            <w:lang w:val="en-CA"/>
          </w:rPr>
          <w:t xml:space="preserve"> Justification Form</w:t>
        </w:r>
      </w:hyperlink>
      <w:r w:rsidR="00CF1168" w:rsidRPr="00CF1168">
        <w:rPr>
          <w:lang w:val="en-CA"/>
        </w:rPr>
        <w:t xml:space="preserve"> accordingly </w:t>
      </w:r>
      <w:r w:rsidR="00B8632E">
        <w:rPr>
          <w:lang w:val="en-CA"/>
        </w:rPr>
        <w:t>stating</w:t>
      </w:r>
      <w:r w:rsidR="00CF1168" w:rsidRPr="00CF1168">
        <w:rPr>
          <w:lang w:val="en-CA"/>
        </w:rPr>
        <w:t xml:space="preserve"> </w:t>
      </w:r>
      <w:r w:rsidR="00CF1168" w:rsidRPr="00CF1168">
        <w:rPr>
          <w:i/>
          <w:iCs/>
          <w:lang w:val="en-CA"/>
        </w:rPr>
        <w:t xml:space="preserve">This was awarded to a </w:t>
      </w:r>
      <w:r w:rsidRPr="00B8632E">
        <w:rPr>
          <w:i/>
          <w:iCs/>
          <w:lang w:val="en-CA"/>
        </w:rPr>
        <w:t>non-</w:t>
      </w:r>
      <w:r w:rsidR="00CF1168" w:rsidRPr="00CF1168">
        <w:rPr>
          <w:i/>
          <w:iCs/>
          <w:lang w:val="en-CA"/>
        </w:rPr>
        <w:t>Ontario Business by giving a 10% preferential margin</w:t>
      </w:r>
      <w:r w:rsidR="00CF1168" w:rsidRPr="00CF1168">
        <w:rPr>
          <w:lang w:val="en-CA"/>
        </w:rPr>
        <w:t>.</w:t>
      </w:r>
    </w:p>
    <w:p w14:paraId="057202C9" w14:textId="77777777" w:rsidR="006A2EC4" w:rsidRDefault="006A2EC4" w:rsidP="00CF1168">
      <w:pPr>
        <w:rPr>
          <w:lang w:val="en-CA"/>
        </w:rPr>
      </w:pPr>
    </w:p>
    <w:p w14:paraId="563081BF" w14:textId="77777777" w:rsidR="006A2EC4" w:rsidRPr="00CF1168" w:rsidRDefault="006A2EC4" w:rsidP="00CF1168">
      <w:pPr>
        <w:rPr>
          <w:lang w:val="en-CA"/>
        </w:rPr>
      </w:pPr>
    </w:p>
    <w:tbl>
      <w:tblPr>
        <w:tblStyle w:val="TableGrid"/>
        <w:tblW w:w="10065" w:type="dxa"/>
        <w:tblInd w:w="-142" w:type="dxa"/>
        <w:tblLook w:val="04A0" w:firstRow="1" w:lastRow="0" w:firstColumn="1" w:lastColumn="0" w:noHBand="0" w:noVBand="1"/>
      </w:tblPr>
      <w:tblGrid>
        <w:gridCol w:w="2269"/>
        <w:gridCol w:w="1701"/>
        <w:gridCol w:w="1842"/>
        <w:gridCol w:w="2414"/>
        <w:gridCol w:w="1839"/>
      </w:tblGrid>
      <w:tr w:rsidR="00CF1168" w:rsidRPr="00CF1168" w14:paraId="5B011E64" w14:textId="77777777" w:rsidTr="00CF1168">
        <w:trPr>
          <w:trHeight w:val="844"/>
        </w:trPr>
        <w:tc>
          <w:tcPr>
            <w:tcW w:w="2269" w:type="dxa"/>
            <w:tcBorders>
              <w:top w:val="nil"/>
              <w:left w:val="nil"/>
              <w:bottom w:val="single" w:sz="4" w:space="0" w:color="auto"/>
              <w:right w:val="single" w:sz="4" w:space="0" w:color="auto"/>
            </w:tcBorders>
            <w:shd w:val="clear" w:color="auto" w:fill="auto"/>
          </w:tcPr>
          <w:p w14:paraId="7A7E4643" w14:textId="77777777" w:rsidR="00CF1168" w:rsidRPr="00CF1168" w:rsidRDefault="00CF1168" w:rsidP="00CF1168">
            <w:pPr>
              <w:spacing w:after="160" w:line="259" w:lineRule="auto"/>
              <w:rPr>
                <w:b/>
                <w:bCs/>
              </w:rPr>
            </w:pPr>
          </w:p>
        </w:tc>
        <w:tc>
          <w:tcPr>
            <w:tcW w:w="1701" w:type="dxa"/>
            <w:tcBorders>
              <w:left w:val="single" w:sz="4" w:space="0" w:color="auto"/>
            </w:tcBorders>
            <w:shd w:val="clear" w:color="auto" w:fill="F2F2F2" w:themeFill="background1" w:themeFillShade="F2"/>
            <w:vAlign w:val="center"/>
          </w:tcPr>
          <w:p w14:paraId="595A6FD9" w14:textId="77777777" w:rsidR="00CF1168" w:rsidRPr="00CF1168" w:rsidRDefault="00CF1168" w:rsidP="00CF1168">
            <w:pPr>
              <w:spacing w:after="160" w:line="259" w:lineRule="auto"/>
              <w:jc w:val="center"/>
              <w:rPr>
                <w:b/>
                <w:bCs/>
              </w:rPr>
            </w:pPr>
            <w:r w:rsidRPr="00CF1168">
              <w:rPr>
                <w:b/>
                <w:bCs/>
              </w:rPr>
              <w:t>Quotation Price</w:t>
            </w:r>
          </w:p>
        </w:tc>
        <w:tc>
          <w:tcPr>
            <w:tcW w:w="1842" w:type="dxa"/>
            <w:shd w:val="clear" w:color="auto" w:fill="F2F2F2" w:themeFill="background1" w:themeFillShade="F2"/>
            <w:vAlign w:val="center"/>
          </w:tcPr>
          <w:p w14:paraId="7D81CD3E" w14:textId="77777777" w:rsidR="00CF1168" w:rsidRPr="00CF1168" w:rsidRDefault="00CF1168" w:rsidP="00CF1168">
            <w:pPr>
              <w:spacing w:after="160" w:line="259" w:lineRule="auto"/>
              <w:jc w:val="center"/>
              <w:rPr>
                <w:b/>
                <w:bCs/>
              </w:rPr>
            </w:pPr>
            <w:r w:rsidRPr="00CF1168">
              <w:rPr>
                <w:b/>
                <w:bCs/>
              </w:rPr>
              <w:t>Price (90%)</w:t>
            </w:r>
          </w:p>
        </w:tc>
        <w:tc>
          <w:tcPr>
            <w:tcW w:w="2414" w:type="dxa"/>
            <w:shd w:val="clear" w:color="auto" w:fill="F2F2F2" w:themeFill="background1" w:themeFillShade="F2"/>
            <w:vAlign w:val="center"/>
          </w:tcPr>
          <w:p w14:paraId="77ABB590" w14:textId="4C04228B" w:rsidR="00CF1168" w:rsidRPr="00CF1168" w:rsidRDefault="00CF1168" w:rsidP="00CF1168">
            <w:pPr>
              <w:spacing w:after="160" w:line="259" w:lineRule="auto"/>
              <w:jc w:val="center"/>
              <w:rPr>
                <w:b/>
                <w:bCs/>
              </w:rPr>
            </w:pPr>
            <w:r w:rsidRPr="00CF1168">
              <w:rPr>
                <w:b/>
                <w:bCs/>
              </w:rPr>
              <w:t xml:space="preserve">Ontario Business </w:t>
            </w:r>
            <w:r w:rsidRPr="00CF1168">
              <w:t>Preferential Margin (10%)</w:t>
            </w:r>
          </w:p>
        </w:tc>
        <w:tc>
          <w:tcPr>
            <w:tcW w:w="1839" w:type="dxa"/>
            <w:shd w:val="clear" w:color="auto" w:fill="F2F2F2" w:themeFill="background1" w:themeFillShade="F2"/>
            <w:vAlign w:val="center"/>
          </w:tcPr>
          <w:p w14:paraId="116140D6" w14:textId="77777777" w:rsidR="00CF1168" w:rsidRPr="00CF1168" w:rsidRDefault="00CF1168" w:rsidP="00CF1168">
            <w:pPr>
              <w:spacing w:after="160" w:line="259" w:lineRule="auto"/>
              <w:jc w:val="center"/>
              <w:rPr>
                <w:b/>
                <w:bCs/>
              </w:rPr>
            </w:pPr>
            <w:r w:rsidRPr="00CF1168">
              <w:rPr>
                <w:b/>
                <w:bCs/>
              </w:rPr>
              <w:t>Total</w:t>
            </w:r>
          </w:p>
        </w:tc>
      </w:tr>
      <w:tr w:rsidR="00CF1168" w:rsidRPr="00CF1168" w14:paraId="447E3E9D" w14:textId="77777777" w:rsidTr="00CF1168">
        <w:trPr>
          <w:trHeight w:val="1180"/>
        </w:trPr>
        <w:tc>
          <w:tcPr>
            <w:tcW w:w="2269" w:type="dxa"/>
            <w:tcBorders>
              <w:top w:val="single" w:sz="4" w:space="0" w:color="auto"/>
            </w:tcBorders>
            <w:shd w:val="clear" w:color="auto" w:fill="F2F2F2" w:themeFill="background1" w:themeFillShade="F2"/>
            <w:vAlign w:val="center"/>
          </w:tcPr>
          <w:p w14:paraId="757050AB" w14:textId="77777777" w:rsidR="00CF1168" w:rsidRDefault="00CF1168" w:rsidP="00CF1168">
            <w:pPr>
              <w:spacing w:after="160" w:line="259" w:lineRule="auto"/>
              <w:rPr>
                <w:b/>
                <w:bCs/>
              </w:rPr>
            </w:pPr>
            <w:r w:rsidRPr="00CF1168">
              <w:rPr>
                <w:b/>
                <w:bCs/>
              </w:rPr>
              <w:t xml:space="preserve">Supplier A </w:t>
            </w:r>
          </w:p>
          <w:p w14:paraId="54F7DB90" w14:textId="2862E823" w:rsidR="00CF1168" w:rsidRPr="00CF1168" w:rsidRDefault="00CF1168" w:rsidP="00CF1168">
            <w:pPr>
              <w:spacing w:after="160" w:line="259" w:lineRule="auto"/>
              <w:rPr>
                <w:b/>
                <w:bCs/>
              </w:rPr>
            </w:pPr>
            <w:r w:rsidRPr="00CF1168">
              <w:t>Ontario Business</w:t>
            </w:r>
          </w:p>
        </w:tc>
        <w:tc>
          <w:tcPr>
            <w:tcW w:w="1701" w:type="dxa"/>
            <w:vAlign w:val="center"/>
          </w:tcPr>
          <w:p w14:paraId="43AEF91B" w14:textId="77777777" w:rsidR="00CF1168" w:rsidRPr="00CF1168" w:rsidRDefault="00CF1168" w:rsidP="00CF1168">
            <w:pPr>
              <w:spacing w:after="160" w:line="259" w:lineRule="auto"/>
              <w:jc w:val="center"/>
            </w:pPr>
            <w:r w:rsidRPr="00CF1168">
              <w:t>$27,500.00</w:t>
            </w:r>
          </w:p>
        </w:tc>
        <w:tc>
          <w:tcPr>
            <w:tcW w:w="1842" w:type="dxa"/>
            <w:vAlign w:val="center"/>
          </w:tcPr>
          <w:p w14:paraId="2A9759D3" w14:textId="77777777" w:rsidR="00CF1168" w:rsidRPr="00CF1168" w:rsidRDefault="00CF1168" w:rsidP="00CF1168">
            <w:pPr>
              <w:spacing w:after="160" w:line="259" w:lineRule="auto"/>
              <w:jc w:val="center"/>
            </w:pPr>
            <w:r w:rsidRPr="00CF1168">
              <w:t>81.8</w:t>
            </w:r>
          </w:p>
        </w:tc>
        <w:tc>
          <w:tcPr>
            <w:tcW w:w="2414" w:type="dxa"/>
            <w:vAlign w:val="center"/>
          </w:tcPr>
          <w:p w14:paraId="0B5DC567" w14:textId="77777777" w:rsidR="00CF1168" w:rsidRPr="00CF1168" w:rsidRDefault="00CF1168" w:rsidP="00CF1168">
            <w:pPr>
              <w:spacing w:after="160" w:line="259" w:lineRule="auto"/>
              <w:jc w:val="center"/>
            </w:pPr>
            <w:r w:rsidRPr="00CF1168">
              <w:t>10</w:t>
            </w:r>
          </w:p>
        </w:tc>
        <w:tc>
          <w:tcPr>
            <w:tcW w:w="1839" w:type="dxa"/>
            <w:vAlign w:val="center"/>
          </w:tcPr>
          <w:p w14:paraId="276ABA6A" w14:textId="77777777" w:rsidR="00CF1168" w:rsidRPr="00CF1168" w:rsidRDefault="00CF1168" w:rsidP="00CF1168">
            <w:pPr>
              <w:spacing w:after="160" w:line="259" w:lineRule="auto"/>
              <w:jc w:val="center"/>
            </w:pPr>
            <w:r w:rsidRPr="00CF1168">
              <w:t>91.8</w:t>
            </w:r>
          </w:p>
        </w:tc>
      </w:tr>
      <w:tr w:rsidR="00CF1168" w:rsidRPr="00CF1168" w14:paraId="4D1E37EE" w14:textId="77777777" w:rsidTr="00CF1168">
        <w:trPr>
          <w:trHeight w:val="1255"/>
        </w:trPr>
        <w:tc>
          <w:tcPr>
            <w:tcW w:w="2269" w:type="dxa"/>
            <w:shd w:val="clear" w:color="auto" w:fill="F2F2F2" w:themeFill="background1" w:themeFillShade="F2"/>
            <w:vAlign w:val="center"/>
          </w:tcPr>
          <w:p w14:paraId="3A34D92A" w14:textId="77777777" w:rsidR="00CF1168" w:rsidRPr="00CF1168" w:rsidRDefault="00CF1168" w:rsidP="00CF1168">
            <w:pPr>
              <w:spacing w:after="160" w:line="259" w:lineRule="auto"/>
              <w:rPr>
                <w:b/>
                <w:bCs/>
              </w:rPr>
            </w:pPr>
            <w:r w:rsidRPr="00CF1168">
              <w:rPr>
                <w:b/>
                <w:bCs/>
              </w:rPr>
              <w:t xml:space="preserve">Supplier B </w:t>
            </w:r>
          </w:p>
          <w:p w14:paraId="187BE8B7" w14:textId="70D394AC" w:rsidR="00CF1168" w:rsidRPr="00CF1168" w:rsidRDefault="00CF1168" w:rsidP="00CF1168">
            <w:pPr>
              <w:spacing w:after="160" w:line="259" w:lineRule="auto"/>
              <w:rPr>
                <w:b/>
                <w:bCs/>
              </w:rPr>
            </w:pPr>
            <w:r w:rsidRPr="00CF1168">
              <w:rPr>
                <w:i/>
                <w:iCs/>
              </w:rPr>
              <w:t>Non</w:t>
            </w:r>
            <w:r w:rsidRPr="00CF1168">
              <w:t>-Ontario Business</w:t>
            </w:r>
            <w:r w:rsidRPr="00CF1168">
              <w:rPr>
                <w:b/>
                <w:bCs/>
              </w:rPr>
              <w:t xml:space="preserve"> </w:t>
            </w:r>
          </w:p>
        </w:tc>
        <w:tc>
          <w:tcPr>
            <w:tcW w:w="1701" w:type="dxa"/>
            <w:vAlign w:val="center"/>
          </w:tcPr>
          <w:p w14:paraId="649B80C1" w14:textId="77777777" w:rsidR="00CF1168" w:rsidRPr="00CF1168" w:rsidRDefault="00CF1168" w:rsidP="00CF1168">
            <w:pPr>
              <w:spacing w:after="160" w:line="259" w:lineRule="auto"/>
              <w:jc w:val="center"/>
            </w:pPr>
            <w:r w:rsidRPr="00CF1168">
              <w:t>$25,000.00</w:t>
            </w:r>
          </w:p>
        </w:tc>
        <w:tc>
          <w:tcPr>
            <w:tcW w:w="1842" w:type="dxa"/>
            <w:vAlign w:val="center"/>
          </w:tcPr>
          <w:p w14:paraId="3CA768DF" w14:textId="77777777" w:rsidR="00CF1168" w:rsidRPr="00CF1168" w:rsidRDefault="00CF1168" w:rsidP="00CF1168">
            <w:pPr>
              <w:spacing w:after="160" w:line="259" w:lineRule="auto"/>
              <w:jc w:val="center"/>
            </w:pPr>
            <w:r w:rsidRPr="00CF1168">
              <w:t>90</w:t>
            </w:r>
          </w:p>
        </w:tc>
        <w:tc>
          <w:tcPr>
            <w:tcW w:w="2414" w:type="dxa"/>
            <w:vAlign w:val="center"/>
          </w:tcPr>
          <w:p w14:paraId="7D6EF70B" w14:textId="77777777" w:rsidR="00CF1168" w:rsidRPr="00CF1168" w:rsidRDefault="00CF1168" w:rsidP="00CF1168">
            <w:pPr>
              <w:spacing w:after="160" w:line="259" w:lineRule="auto"/>
              <w:jc w:val="center"/>
            </w:pPr>
            <w:r w:rsidRPr="00CF1168">
              <w:t>0</w:t>
            </w:r>
          </w:p>
        </w:tc>
        <w:tc>
          <w:tcPr>
            <w:tcW w:w="1839" w:type="dxa"/>
            <w:vAlign w:val="center"/>
          </w:tcPr>
          <w:p w14:paraId="25085E81" w14:textId="77777777" w:rsidR="00CF1168" w:rsidRPr="00CF1168" w:rsidRDefault="00CF1168" w:rsidP="00CF1168">
            <w:pPr>
              <w:spacing w:after="160" w:line="259" w:lineRule="auto"/>
              <w:jc w:val="center"/>
            </w:pPr>
            <w:r w:rsidRPr="00CF1168">
              <w:t>90</w:t>
            </w:r>
          </w:p>
        </w:tc>
      </w:tr>
      <w:tr w:rsidR="00CF1168" w:rsidRPr="00CF1168" w14:paraId="200D49B4" w14:textId="77777777" w:rsidTr="00CF1168">
        <w:trPr>
          <w:trHeight w:val="1135"/>
        </w:trPr>
        <w:tc>
          <w:tcPr>
            <w:tcW w:w="2269" w:type="dxa"/>
            <w:shd w:val="clear" w:color="auto" w:fill="F2F2F2" w:themeFill="background1" w:themeFillShade="F2"/>
            <w:vAlign w:val="center"/>
          </w:tcPr>
          <w:p w14:paraId="1B5480BA" w14:textId="77777777" w:rsidR="00CF1168" w:rsidRPr="00CF1168" w:rsidRDefault="00CF1168" w:rsidP="00CF1168">
            <w:pPr>
              <w:spacing w:after="160" w:line="259" w:lineRule="auto"/>
              <w:rPr>
                <w:b/>
                <w:bCs/>
              </w:rPr>
            </w:pPr>
            <w:r w:rsidRPr="00CF1168">
              <w:rPr>
                <w:b/>
                <w:bCs/>
              </w:rPr>
              <w:t xml:space="preserve">Supplier C </w:t>
            </w:r>
          </w:p>
          <w:p w14:paraId="13DB1C31" w14:textId="77777777" w:rsidR="00CF1168" w:rsidRPr="00CF1168" w:rsidRDefault="00CF1168" w:rsidP="00CF1168">
            <w:pPr>
              <w:spacing w:after="160" w:line="259" w:lineRule="auto"/>
              <w:rPr>
                <w:b/>
                <w:bCs/>
              </w:rPr>
            </w:pPr>
            <w:r w:rsidRPr="00CF1168">
              <w:rPr>
                <w:i/>
                <w:iCs/>
              </w:rPr>
              <w:t>Non-</w:t>
            </w:r>
            <w:r w:rsidRPr="00CF1168">
              <w:t>Ontario Business</w:t>
            </w:r>
          </w:p>
        </w:tc>
        <w:tc>
          <w:tcPr>
            <w:tcW w:w="1701" w:type="dxa"/>
            <w:vAlign w:val="center"/>
          </w:tcPr>
          <w:p w14:paraId="57D53541" w14:textId="77777777" w:rsidR="00CF1168" w:rsidRPr="00CF1168" w:rsidRDefault="00CF1168" w:rsidP="00CF1168">
            <w:pPr>
              <w:spacing w:after="160" w:line="259" w:lineRule="auto"/>
              <w:jc w:val="center"/>
            </w:pPr>
            <w:r w:rsidRPr="00CF1168">
              <w:t>$30,000.00</w:t>
            </w:r>
          </w:p>
        </w:tc>
        <w:tc>
          <w:tcPr>
            <w:tcW w:w="1842" w:type="dxa"/>
            <w:vAlign w:val="center"/>
          </w:tcPr>
          <w:p w14:paraId="2968D3F5" w14:textId="77777777" w:rsidR="00CF1168" w:rsidRPr="00CF1168" w:rsidRDefault="00CF1168" w:rsidP="00CF1168">
            <w:pPr>
              <w:spacing w:after="160" w:line="259" w:lineRule="auto"/>
              <w:jc w:val="center"/>
            </w:pPr>
            <w:r w:rsidRPr="00CF1168">
              <w:t>75</w:t>
            </w:r>
          </w:p>
        </w:tc>
        <w:tc>
          <w:tcPr>
            <w:tcW w:w="2414" w:type="dxa"/>
            <w:vAlign w:val="center"/>
          </w:tcPr>
          <w:p w14:paraId="35983393" w14:textId="77777777" w:rsidR="00CF1168" w:rsidRPr="00CF1168" w:rsidRDefault="00CF1168" w:rsidP="00CF1168">
            <w:pPr>
              <w:spacing w:after="160" w:line="259" w:lineRule="auto"/>
              <w:jc w:val="center"/>
            </w:pPr>
            <w:r w:rsidRPr="00CF1168">
              <w:t>0</w:t>
            </w:r>
          </w:p>
        </w:tc>
        <w:tc>
          <w:tcPr>
            <w:tcW w:w="1839" w:type="dxa"/>
            <w:vAlign w:val="center"/>
          </w:tcPr>
          <w:p w14:paraId="2AFF5284" w14:textId="77777777" w:rsidR="00CF1168" w:rsidRPr="00CF1168" w:rsidRDefault="00CF1168" w:rsidP="00CF1168">
            <w:pPr>
              <w:spacing w:after="160" w:line="259" w:lineRule="auto"/>
              <w:jc w:val="center"/>
            </w:pPr>
            <w:r w:rsidRPr="00CF1168">
              <w:t>75</w:t>
            </w:r>
          </w:p>
        </w:tc>
      </w:tr>
    </w:tbl>
    <w:p w14:paraId="38D13743" w14:textId="77777777" w:rsidR="00CF1168" w:rsidRDefault="00CF1168" w:rsidP="00CF1168">
      <w:pPr>
        <w:rPr>
          <w:b/>
          <w:bCs/>
          <w:lang w:val="en-CA"/>
        </w:rPr>
      </w:pPr>
    </w:p>
    <w:p w14:paraId="2EBCC5F1" w14:textId="77777777" w:rsidR="006A2EC4" w:rsidRPr="00CF1168" w:rsidRDefault="006A2EC4" w:rsidP="00CF1168">
      <w:pPr>
        <w:rPr>
          <w:b/>
          <w:bCs/>
          <w:lang w:val="en-CA"/>
        </w:rPr>
      </w:pPr>
    </w:p>
    <w:p w14:paraId="4D41DA02" w14:textId="4118DDA4" w:rsidR="00CF1168" w:rsidRPr="00CF1168" w:rsidRDefault="00CF1168" w:rsidP="006A2EC4">
      <w:pPr>
        <w:jc w:val="center"/>
        <w:rPr>
          <w:b/>
          <w:bCs/>
          <w:sz w:val="28"/>
          <w:szCs w:val="28"/>
          <w:lang w:val="en-CA"/>
        </w:rPr>
      </w:pPr>
      <w:r w:rsidRPr="00CF1168">
        <w:rPr>
          <w:b/>
          <w:bCs/>
          <w:sz w:val="28"/>
          <w:szCs w:val="28"/>
          <w:lang w:val="en-CA"/>
        </w:rPr>
        <w:t xml:space="preserve">Rated </w:t>
      </w:r>
      <w:r w:rsidR="00C81192" w:rsidRPr="00CF1168">
        <w:rPr>
          <w:b/>
          <w:bCs/>
          <w:sz w:val="28"/>
          <w:szCs w:val="28"/>
          <w:lang w:val="en-CA"/>
        </w:rPr>
        <w:t>Criteria</w:t>
      </w:r>
      <w:r w:rsidR="00C81192" w:rsidRPr="006A2EC4">
        <w:rPr>
          <w:b/>
          <w:bCs/>
          <w:sz w:val="28"/>
          <w:szCs w:val="28"/>
          <w:lang w:val="en-CA"/>
        </w:rPr>
        <w:t xml:space="preserve"> </w:t>
      </w:r>
      <w:r w:rsidRPr="00CF1168">
        <w:rPr>
          <w:b/>
          <w:bCs/>
          <w:sz w:val="28"/>
          <w:szCs w:val="28"/>
          <w:lang w:val="en-CA"/>
        </w:rPr>
        <w:t>Evaluation</w:t>
      </w:r>
      <w:r w:rsidR="006A2EC4">
        <w:rPr>
          <w:b/>
          <w:bCs/>
          <w:sz w:val="28"/>
          <w:szCs w:val="28"/>
          <w:lang w:val="en-CA"/>
        </w:rPr>
        <w:t xml:space="preserve"> Criteria</w:t>
      </w:r>
      <w:r w:rsidRPr="00CF1168">
        <w:rPr>
          <w:b/>
          <w:bCs/>
          <w:sz w:val="28"/>
          <w:szCs w:val="28"/>
          <w:lang w:val="en-CA"/>
        </w:rPr>
        <w:t xml:space="preserve"> </w:t>
      </w:r>
      <w:r w:rsidR="00C81192" w:rsidRPr="006A2EC4">
        <w:rPr>
          <w:b/>
          <w:bCs/>
          <w:sz w:val="28"/>
          <w:szCs w:val="28"/>
          <w:lang w:val="en-CA"/>
        </w:rPr>
        <w:t>(Section B of ITQ Evaluation)</w:t>
      </w:r>
    </w:p>
    <w:tbl>
      <w:tblPr>
        <w:tblStyle w:val="TableGrid"/>
        <w:tblpPr w:leftFromText="180" w:rightFromText="180" w:vertAnchor="text" w:horzAnchor="margin" w:tblpY="-42"/>
        <w:tblW w:w="0" w:type="auto"/>
        <w:tblLook w:val="04A0" w:firstRow="1" w:lastRow="0" w:firstColumn="1" w:lastColumn="0" w:noHBand="0" w:noVBand="1"/>
      </w:tblPr>
      <w:tblGrid>
        <w:gridCol w:w="4536"/>
        <w:gridCol w:w="1079"/>
      </w:tblGrid>
      <w:tr w:rsidR="00CF1168" w:rsidRPr="00CF1168" w14:paraId="50A93389" w14:textId="77777777" w:rsidTr="00A43A7B">
        <w:trPr>
          <w:trHeight w:val="57"/>
        </w:trPr>
        <w:tc>
          <w:tcPr>
            <w:tcW w:w="5615" w:type="dxa"/>
            <w:gridSpan w:val="2"/>
            <w:tcBorders>
              <w:top w:val="nil"/>
              <w:left w:val="nil"/>
              <w:bottom w:val="single" w:sz="4" w:space="0" w:color="auto"/>
              <w:right w:val="nil"/>
            </w:tcBorders>
            <w:vAlign w:val="center"/>
          </w:tcPr>
          <w:p w14:paraId="7255624E" w14:textId="77777777" w:rsidR="006A2EC4" w:rsidRPr="00CF1168" w:rsidRDefault="006A2EC4" w:rsidP="00CF1168">
            <w:pPr>
              <w:spacing w:line="259" w:lineRule="auto"/>
              <w:rPr>
                <w:u w:val="single"/>
              </w:rPr>
            </w:pPr>
          </w:p>
        </w:tc>
      </w:tr>
      <w:tr w:rsidR="00CF1168" w:rsidRPr="00CF1168" w14:paraId="1EF1520C" w14:textId="77777777" w:rsidTr="00A43A7B">
        <w:trPr>
          <w:trHeight w:val="425"/>
        </w:trPr>
        <w:tc>
          <w:tcPr>
            <w:tcW w:w="4536" w:type="dxa"/>
            <w:tcBorders>
              <w:top w:val="single" w:sz="4" w:space="0" w:color="auto"/>
            </w:tcBorders>
            <w:shd w:val="clear" w:color="auto" w:fill="F2F2F2" w:themeFill="background1" w:themeFillShade="F2"/>
            <w:vAlign w:val="center"/>
          </w:tcPr>
          <w:p w14:paraId="062AE983" w14:textId="77777777" w:rsidR="00CF1168" w:rsidRPr="00CF1168" w:rsidRDefault="00CF1168" w:rsidP="00CF1168">
            <w:pPr>
              <w:spacing w:line="259" w:lineRule="auto"/>
            </w:pPr>
            <w:r w:rsidRPr="00CF1168">
              <w:rPr>
                <w:b/>
                <w:bCs/>
              </w:rPr>
              <w:t>Criteria</w:t>
            </w:r>
          </w:p>
        </w:tc>
        <w:tc>
          <w:tcPr>
            <w:tcW w:w="1079" w:type="dxa"/>
            <w:tcBorders>
              <w:top w:val="single" w:sz="4" w:space="0" w:color="auto"/>
            </w:tcBorders>
            <w:shd w:val="clear" w:color="auto" w:fill="F2F2F2" w:themeFill="background1" w:themeFillShade="F2"/>
            <w:vAlign w:val="center"/>
          </w:tcPr>
          <w:p w14:paraId="374CF8CB" w14:textId="77777777" w:rsidR="00CF1168" w:rsidRPr="00CF1168" w:rsidRDefault="00CF1168" w:rsidP="00CF1168">
            <w:pPr>
              <w:spacing w:line="259" w:lineRule="auto"/>
            </w:pPr>
            <w:r w:rsidRPr="00CF1168">
              <w:rPr>
                <w:b/>
                <w:bCs/>
              </w:rPr>
              <w:t>Weight (%)</w:t>
            </w:r>
          </w:p>
        </w:tc>
      </w:tr>
      <w:tr w:rsidR="00CF1168" w:rsidRPr="00CF1168" w14:paraId="30BB004E" w14:textId="77777777" w:rsidTr="00A43A7B">
        <w:trPr>
          <w:trHeight w:val="425"/>
        </w:trPr>
        <w:tc>
          <w:tcPr>
            <w:tcW w:w="4536" w:type="dxa"/>
            <w:shd w:val="clear" w:color="auto" w:fill="F2F2F2" w:themeFill="background1" w:themeFillShade="F2"/>
            <w:vAlign w:val="center"/>
          </w:tcPr>
          <w:p w14:paraId="2AE56915" w14:textId="77777777" w:rsidR="00CF1168" w:rsidRPr="00CF1168" w:rsidRDefault="00CF1168" w:rsidP="00CF1168">
            <w:pPr>
              <w:spacing w:after="160" w:line="259" w:lineRule="auto"/>
            </w:pPr>
            <w:r w:rsidRPr="00CF1168">
              <w:t>Rated Criteria 1 - (e.g., Price)</w:t>
            </w:r>
          </w:p>
        </w:tc>
        <w:tc>
          <w:tcPr>
            <w:tcW w:w="1079" w:type="dxa"/>
            <w:vAlign w:val="center"/>
          </w:tcPr>
          <w:p w14:paraId="3DFD127C" w14:textId="77777777" w:rsidR="00CF1168" w:rsidRPr="00CF1168" w:rsidRDefault="00CF1168" w:rsidP="00CF1168">
            <w:pPr>
              <w:spacing w:after="160" w:line="259" w:lineRule="auto"/>
            </w:pPr>
            <w:r w:rsidRPr="00CF1168">
              <w:t>40</w:t>
            </w:r>
          </w:p>
        </w:tc>
      </w:tr>
      <w:tr w:rsidR="00CF1168" w:rsidRPr="00CF1168" w14:paraId="69E1741B" w14:textId="77777777" w:rsidTr="00A43A7B">
        <w:trPr>
          <w:trHeight w:val="425"/>
        </w:trPr>
        <w:tc>
          <w:tcPr>
            <w:tcW w:w="4536" w:type="dxa"/>
            <w:shd w:val="clear" w:color="auto" w:fill="F2F2F2" w:themeFill="background1" w:themeFillShade="F2"/>
            <w:vAlign w:val="center"/>
          </w:tcPr>
          <w:p w14:paraId="11078156" w14:textId="77777777" w:rsidR="00CF1168" w:rsidRPr="00CF1168" w:rsidRDefault="00CF1168" w:rsidP="00CF1168">
            <w:pPr>
              <w:spacing w:after="160" w:line="259" w:lineRule="auto"/>
            </w:pPr>
            <w:r w:rsidRPr="00CF1168">
              <w:t>Rated Criteria 2 – (e.g., Technical Requirements)</w:t>
            </w:r>
          </w:p>
        </w:tc>
        <w:tc>
          <w:tcPr>
            <w:tcW w:w="1079" w:type="dxa"/>
            <w:vAlign w:val="center"/>
          </w:tcPr>
          <w:p w14:paraId="67F98147" w14:textId="77777777" w:rsidR="00CF1168" w:rsidRPr="00CF1168" w:rsidRDefault="00CF1168" w:rsidP="00CF1168">
            <w:pPr>
              <w:spacing w:after="160" w:line="259" w:lineRule="auto"/>
            </w:pPr>
            <w:r w:rsidRPr="00CF1168">
              <w:t>30</w:t>
            </w:r>
          </w:p>
        </w:tc>
      </w:tr>
      <w:tr w:rsidR="00CF1168" w:rsidRPr="00CF1168" w14:paraId="234315B5" w14:textId="77777777" w:rsidTr="00A43A7B">
        <w:trPr>
          <w:trHeight w:val="425"/>
        </w:trPr>
        <w:tc>
          <w:tcPr>
            <w:tcW w:w="4536" w:type="dxa"/>
            <w:shd w:val="clear" w:color="auto" w:fill="F2F2F2" w:themeFill="background1" w:themeFillShade="F2"/>
            <w:vAlign w:val="center"/>
          </w:tcPr>
          <w:p w14:paraId="09301E8E" w14:textId="77777777" w:rsidR="00CF1168" w:rsidRPr="00CF1168" w:rsidRDefault="00CF1168" w:rsidP="00CF1168">
            <w:pPr>
              <w:spacing w:after="160" w:line="259" w:lineRule="auto"/>
            </w:pPr>
            <w:r w:rsidRPr="00CF1168">
              <w:t>Rated Criteria 3 – (e.g., Delivery Timelines)</w:t>
            </w:r>
          </w:p>
        </w:tc>
        <w:tc>
          <w:tcPr>
            <w:tcW w:w="1079" w:type="dxa"/>
            <w:vAlign w:val="center"/>
          </w:tcPr>
          <w:p w14:paraId="1610F2E6" w14:textId="77777777" w:rsidR="00CF1168" w:rsidRPr="00CF1168" w:rsidRDefault="00CF1168" w:rsidP="00CF1168">
            <w:pPr>
              <w:spacing w:after="160" w:line="259" w:lineRule="auto"/>
            </w:pPr>
            <w:r w:rsidRPr="00CF1168">
              <w:t>10</w:t>
            </w:r>
          </w:p>
        </w:tc>
      </w:tr>
      <w:tr w:rsidR="00CF1168" w:rsidRPr="00CF1168" w14:paraId="4231B695" w14:textId="77777777" w:rsidTr="00A43A7B">
        <w:trPr>
          <w:trHeight w:val="425"/>
        </w:trPr>
        <w:tc>
          <w:tcPr>
            <w:tcW w:w="4536" w:type="dxa"/>
            <w:shd w:val="clear" w:color="auto" w:fill="F2F2F2" w:themeFill="background1" w:themeFillShade="F2"/>
            <w:vAlign w:val="center"/>
          </w:tcPr>
          <w:p w14:paraId="5FA4846A" w14:textId="77777777" w:rsidR="00CF1168" w:rsidRPr="00CF1168" w:rsidRDefault="00CF1168" w:rsidP="00CF1168">
            <w:pPr>
              <w:spacing w:after="160" w:line="259" w:lineRule="auto"/>
              <w:rPr>
                <w:b/>
                <w:bCs/>
              </w:rPr>
            </w:pPr>
            <w:r w:rsidRPr="00CF1168">
              <w:t>Rated Criteria 4 – (e.g., Warranty)</w:t>
            </w:r>
          </w:p>
        </w:tc>
        <w:tc>
          <w:tcPr>
            <w:tcW w:w="1079" w:type="dxa"/>
            <w:vAlign w:val="center"/>
          </w:tcPr>
          <w:p w14:paraId="4578B12C" w14:textId="77777777" w:rsidR="00CF1168" w:rsidRPr="00CF1168" w:rsidRDefault="00CF1168" w:rsidP="00CF1168">
            <w:pPr>
              <w:spacing w:after="160" w:line="259" w:lineRule="auto"/>
            </w:pPr>
            <w:r w:rsidRPr="00CF1168">
              <w:t>10</w:t>
            </w:r>
          </w:p>
        </w:tc>
      </w:tr>
      <w:tr w:rsidR="00CF1168" w:rsidRPr="00CF1168" w14:paraId="3F59576B" w14:textId="77777777" w:rsidTr="00A43A7B">
        <w:trPr>
          <w:trHeight w:val="425"/>
        </w:trPr>
        <w:tc>
          <w:tcPr>
            <w:tcW w:w="4536" w:type="dxa"/>
            <w:shd w:val="clear" w:color="auto" w:fill="F2F2F2" w:themeFill="background1" w:themeFillShade="F2"/>
            <w:vAlign w:val="center"/>
          </w:tcPr>
          <w:p w14:paraId="0836448E" w14:textId="77777777" w:rsidR="00CF1168" w:rsidRPr="00CF1168" w:rsidRDefault="00CF1168" w:rsidP="00CF1168">
            <w:pPr>
              <w:spacing w:after="160" w:line="259" w:lineRule="auto"/>
              <w:rPr>
                <w:b/>
                <w:bCs/>
              </w:rPr>
            </w:pPr>
            <w:r w:rsidRPr="00CF1168">
              <w:rPr>
                <w:b/>
                <w:bCs/>
              </w:rPr>
              <w:t>Rated Criteria 5 - Ontario Business Preferential Margin</w:t>
            </w:r>
          </w:p>
        </w:tc>
        <w:tc>
          <w:tcPr>
            <w:tcW w:w="1079" w:type="dxa"/>
            <w:vAlign w:val="center"/>
          </w:tcPr>
          <w:p w14:paraId="24F0A792" w14:textId="77777777" w:rsidR="00CF1168" w:rsidRPr="00CF1168" w:rsidRDefault="00CF1168" w:rsidP="00CF1168">
            <w:pPr>
              <w:spacing w:after="160" w:line="259" w:lineRule="auto"/>
              <w:rPr>
                <w:b/>
                <w:bCs/>
              </w:rPr>
            </w:pPr>
            <w:r w:rsidRPr="00CF1168">
              <w:rPr>
                <w:b/>
                <w:bCs/>
              </w:rPr>
              <w:t>10</w:t>
            </w:r>
          </w:p>
        </w:tc>
      </w:tr>
      <w:tr w:rsidR="00CF1168" w:rsidRPr="00CF1168" w14:paraId="726E89DC" w14:textId="77777777" w:rsidTr="00A43A7B">
        <w:trPr>
          <w:trHeight w:val="425"/>
        </w:trPr>
        <w:tc>
          <w:tcPr>
            <w:tcW w:w="4536" w:type="dxa"/>
            <w:shd w:val="clear" w:color="auto" w:fill="F2F2F2" w:themeFill="background1" w:themeFillShade="F2"/>
            <w:vAlign w:val="center"/>
          </w:tcPr>
          <w:p w14:paraId="617B735E" w14:textId="77777777" w:rsidR="00CF1168" w:rsidRPr="00CF1168" w:rsidRDefault="00CF1168" w:rsidP="00CF1168">
            <w:pPr>
              <w:spacing w:after="160" w:line="259" w:lineRule="auto"/>
              <w:rPr>
                <w:b/>
                <w:bCs/>
              </w:rPr>
            </w:pPr>
            <w:r w:rsidRPr="00CF1168">
              <w:rPr>
                <w:b/>
                <w:bCs/>
              </w:rPr>
              <w:t>Total</w:t>
            </w:r>
          </w:p>
        </w:tc>
        <w:tc>
          <w:tcPr>
            <w:tcW w:w="1079" w:type="dxa"/>
            <w:vAlign w:val="center"/>
          </w:tcPr>
          <w:p w14:paraId="5805D2A3" w14:textId="77777777" w:rsidR="00CF1168" w:rsidRPr="00CF1168" w:rsidRDefault="00CF1168" w:rsidP="00CF1168">
            <w:pPr>
              <w:spacing w:after="160" w:line="259" w:lineRule="auto"/>
              <w:rPr>
                <w:b/>
                <w:bCs/>
              </w:rPr>
            </w:pPr>
            <w:r w:rsidRPr="00CF1168">
              <w:rPr>
                <w:b/>
                <w:bCs/>
              </w:rPr>
              <w:t>100%</w:t>
            </w:r>
          </w:p>
        </w:tc>
      </w:tr>
    </w:tbl>
    <w:p w14:paraId="40C92ADB" w14:textId="77777777" w:rsidR="00CF1168" w:rsidRDefault="00CF1168" w:rsidP="00CF1168">
      <w:pPr>
        <w:rPr>
          <w:b/>
          <w:bCs/>
          <w:lang w:val="en-CA"/>
        </w:rPr>
      </w:pPr>
    </w:p>
    <w:p w14:paraId="74C61182" w14:textId="1A581924" w:rsidR="00CF1168" w:rsidRPr="00CF1168" w:rsidRDefault="00CF1168" w:rsidP="00CF1168">
      <w:pPr>
        <w:rPr>
          <w:b/>
          <w:bCs/>
          <w:lang w:val="en-CA"/>
        </w:rPr>
      </w:pPr>
      <w:r w:rsidRPr="00CF1168">
        <w:rPr>
          <w:b/>
          <w:bCs/>
          <w:lang w:val="en-CA"/>
        </w:rPr>
        <w:t>Examples of Rated Criteria:</w:t>
      </w:r>
    </w:p>
    <w:p w14:paraId="6D9AAD26" w14:textId="77777777" w:rsidR="00CF1168" w:rsidRPr="00CF1168" w:rsidRDefault="00CF1168" w:rsidP="00CF1168">
      <w:pPr>
        <w:numPr>
          <w:ilvl w:val="0"/>
          <w:numId w:val="3"/>
        </w:numPr>
        <w:spacing w:after="0"/>
        <w:rPr>
          <w:lang w:val="en-CA"/>
        </w:rPr>
      </w:pPr>
      <w:r w:rsidRPr="00CF1168">
        <w:rPr>
          <w:lang w:val="en-CA"/>
        </w:rPr>
        <w:t>Experience/Qualifications</w:t>
      </w:r>
    </w:p>
    <w:p w14:paraId="61F16DA2" w14:textId="77777777" w:rsidR="00CF1168" w:rsidRPr="00CF1168" w:rsidRDefault="00CF1168" w:rsidP="00CF1168">
      <w:pPr>
        <w:numPr>
          <w:ilvl w:val="0"/>
          <w:numId w:val="3"/>
        </w:numPr>
        <w:spacing w:after="0"/>
        <w:rPr>
          <w:lang w:val="en-CA"/>
        </w:rPr>
      </w:pPr>
      <w:r w:rsidRPr="00CF1168">
        <w:rPr>
          <w:lang w:val="en-CA"/>
        </w:rPr>
        <w:t>Delivery Timelines</w:t>
      </w:r>
    </w:p>
    <w:p w14:paraId="0607D02C" w14:textId="77777777" w:rsidR="00CF1168" w:rsidRPr="00CF1168" w:rsidRDefault="00CF1168" w:rsidP="00CF1168">
      <w:pPr>
        <w:numPr>
          <w:ilvl w:val="0"/>
          <w:numId w:val="3"/>
        </w:numPr>
        <w:spacing w:after="0"/>
        <w:rPr>
          <w:lang w:val="en-CA"/>
        </w:rPr>
      </w:pPr>
      <w:r w:rsidRPr="00CF1168">
        <w:rPr>
          <w:lang w:val="en-CA"/>
        </w:rPr>
        <w:t>Methodology/Work Plan</w:t>
      </w:r>
    </w:p>
    <w:p w14:paraId="74C9E62C" w14:textId="77777777" w:rsidR="00CF1168" w:rsidRPr="00CF1168" w:rsidRDefault="00CF1168" w:rsidP="00CF1168">
      <w:pPr>
        <w:numPr>
          <w:ilvl w:val="0"/>
          <w:numId w:val="3"/>
        </w:numPr>
        <w:spacing w:after="0"/>
        <w:rPr>
          <w:lang w:val="en-CA"/>
        </w:rPr>
      </w:pPr>
      <w:r w:rsidRPr="00CF1168">
        <w:rPr>
          <w:lang w:val="en-CA"/>
        </w:rPr>
        <w:t>Project Team/Key Personnel</w:t>
      </w:r>
    </w:p>
    <w:p w14:paraId="00901D0D" w14:textId="77777777" w:rsidR="00CF1168" w:rsidRPr="00CF1168" w:rsidRDefault="00CF1168" w:rsidP="00CF1168">
      <w:pPr>
        <w:numPr>
          <w:ilvl w:val="0"/>
          <w:numId w:val="3"/>
        </w:numPr>
        <w:spacing w:after="0"/>
        <w:rPr>
          <w:lang w:val="en-CA"/>
        </w:rPr>
      </w:pPr>
      <w:r w:rsidRPr="00CF1168">
        <w:rPr>
          <w:lang w:val="en-CA"/>
        </w:rPr>
        <w:t>Price</w:t>
      </w:r>
    </w:p>
    <w:p w14:paraId="33B720F7" w14:textId="77777777" w:rsidR="00CF1168" w:rsidRPr="00CF1168" w:rsidRDefault="00CF1168" w:rsidP="00CF1168">
      <w:pPr>
        <w:numPr>
          <w:ilvl w:val="0"/>
          <w:numId w:val="3"/>
        </w:numPr>
        <w:spacing w:after="0"/>
        <w:rPr>
          <w:lang w:val="en-CA"/>
        </w:rPr>
      </w:pPr>
      <w:r w:rsidRPr="00CF1168">
        <w:rPr>
          <w:lang w:val="en-CA"/>
        </w:rPr>
        <w:t>Support and Maintenance</w:t>
      </w:r>
    </w:p>
    <w:p w14:paraId="137861C6" w14:textId="77777777" w:rsidR="00CF1168" w:rsidRPr="00CF1168" w:rsidRDefault="00CF1168" w:rsidP="00CF1168">
      <w:pPr>
        <w:numPr>
          <w:ilvl w:val="0"/>
          <w:numId w:val="3"/>
        </w:numPr>
        <w:spacing w:after="0"/>
        <w:rPr>
          <w:lang w:val="en-CA"/>
        </w:rPr>
      </w:pPr>
      <w:r w:rsidRPr="00CF1168">
        <w:rPr>
          <w:lang w:val="en-CA"/>
        </w:rPr>
        <w:t>Sustainability</w:t>
      </w:r>
    </w:p>
    <w:p w14:paraId="0C4BB732" w14:textId="77777777" w:rsidR="00CF1168" w:rsidRPr="00CF1168" w:rsidRDefault="00CF1168" w:rsidP="00CF1168">
      <w:pPr>
        <w:numPr>
          <w:ilvl w:val="0"/>
          <w:numId w:val="3"/>
        </w:numPr>
        <w:spacing w:after="0"/>
        <w:rPr>
          <w:lang w:val="en-CA"/>
        </w:rPr>
      </w:pPr>
      <w:r w:rsidRPr="00CF1168">
        <w:rPr>
          <w:lang w:val="en-CA"/>
        </w:rPr>
        <w:t>Technical Requirements</w:t>
      </w:r>
    </w:p>
    <w:p w14:paraId="4FBFB538" w14:textId="77777777" w:rsidR="00CF1168" w:rsidRPr="00CF1168" w:rsidRDefault="00CF1168" w:rsidP="00CF1168">
      <w:pPr>
        <w:numPr>
          <w:ilvl w:val="0"/>
          <w:numId w:val="3"/>
        </w:numPr>
        <w:spacing w:after="0"/>
        <w:rPr>
          <w:lang w:val="en-CA"/>
        </w:rPr>
      </w:pPr>
      <w:r w:rsidRPr="00CF1168">
        <w:rPr>
          <w:lang w:val="en-CA"/>
        </w:rPr>
        <w:t>Warranty</w:t>
      </w:r>
    </w:p>
    <w:p w14:paraId="467A176B" w14:textId="77777777" w:rsidR="00CF1168" w:rsidRDefault="00CF1168" w:rsidP="00CF1168">
      <w:pPr>
        <w:rPr>
          <w:b/>
          <w:bCs/>
          <w:lang w:val="en-CA"/>
        </w:rPr>
      </w:pPr>
    </w:p>
    <w:p w14:paraId="7973E607" w14:textId="77777777" w:rsidR="006A2EC4" w:rsidRDefault="006A2EC4" w:rsidP="00B8632E">
      <w:pPr>
        <w:spacing w:after="0"/>
        <w:rPr>
          <w:b/>
          <w:bCs/>
          <w:lang w:val="en-CA"/>
        </w:rPr>
      </w:pPr>
    </w:p>
    <w:p w14:paraId="4AA28A28" w14:textId="3F71526D" w:rsidR="00CF1168" w:rsidRPr="00CF1168" w:rsidRDefault="00CF1168" w:rsidP="00B8632E">
      <w:pPr>
        <w:spacing w:after="0"/>
        <w:rPr>
          <w:b/>
          <w:bCs/>
          <w:lang w:val="en-CA"/>
        </w:rPr>
      </w:pPr>
      <w:r w:rsidRPr="00CF1168">
        <w:rPr>
          <w:b/>
          <w:bCs/>
          <w:lang w:val="en-CA"/>
        </w:rPr>
        <w:t xml:space="preserve">How to use Rated Criteria to </w:t>
      </w:r>
      <w:r w:rsidRPr="00CF1168">
        <w:rPr>
          <w:b/>
          <w:bCs/>
          <w:i/>
          <w:iCs/>
          <w:lang w:val="en-CA"/>
        </w:rPr>
        <w:t xml:space="preserve">Evaluate </w:t>
      </w:r>
      <w:r w:rsidRPr="00CF1168">
        <w:rPr>
          <w:b/>
          <w:bCs/>
          <w:lang w:val="en-CA"/>
        </w:rPr>
        <w:t>Quotations</w:t>
      </w:r>
    </w:p>
    <w:p w14:paraId="589B09F4" w14:textId="77777777" w:rsidR="00CF1168" w:rsidRPr="00CF1168" w:rsidRDefault="00CF1168" w:rsidP="00B8632E">
      <w:pPr>
        <w:numPr>
          <w:ilvl w:val="0"/>
          <w:numId w:val="4"/>
        </w:numPr>
        <w:spacing w:after="0"/>
        <w:rPr>
          <w:lang w:val="en-CA"/>
        </w:rPr>
      </w:pPr>
      <w:r w:rsidRPr="00CF1168">
        <w:rPr>
          <w:lang w:val="en-CA"/>
        </w:rPr>
        <w:t xml:space="preserve">Rated criteria is established to evaluate quotations by assigning a score to each criterion. </w:t>
      </w:r>
    </w:p>
    <w:p w14:paraId="4ED9C548" w14:textId="77777777" w:rsidR="00CF1168" w:rsidRPr="00CF1168" w:rsidRDefault="00CF1168" w:rsidP="00CF1168">
      <w:pPr>
        <w:numPr>
          <w:ilvl w:val="0"/>
          <w:numId w:val="4"/>
        </w:numPr>
        <w:spacing w:after="0"/>
        <w:rPr>
          <w:lang w:val="en-CA"/>
        </w:rPr>
      </w:pPr>
      <w:r w:rsidRPr="00CF1168">
        <w:rPr>
          <w:lang w:val="en-CA"/>
        </w:rPr>
        <w:t xml:space="preserve">These criteria will vary depending on the nature of the purchase, but common factors might include price, delivery time, warranty terms (see sidebar). Once Rated Criteria has been identified, assign weights to each criterion based on its relative importance. The weight assigned to each criterion will indicate its importance to the purchase.   </w:t>
      </w:r>
    </w:p>
    <w:p w14:paraId="13724DBA" w14:textId="77777777" w:rsidR="00CF1168" w:rsidRPr="00CF1168" w:rsidRDefault="00CF1168" w:rsidP="00CF1168">
      <w:pPr>
        <w:numPr>
          <w:ilvl w:val="0"/>
          <w:numId w:val="4"/>
        </w:numPr>
        <w:spacing w:after="0"/>
        <w:rPr>
          <w:lang w:val="en-CA"/>
        </w:rPr>
      </w:pPr>
      <w:r w:rsidRPr="00CF1168">
        <w:rPr>
          <w:lang w:val="en-CA"/>
        </w:rPr>
        <w:lastRenderedPageBreak/>
        <w:t xml:space="preserve">Once ready to evaluate, assign a rated score against the established criteria by multiplying the rating for each criterion by its assigned weight.  The sum of the scores across all criteria will be the total score for each supplier. Once the evaluation has been completed, review the total scores to determine which supplier to select. </w:t>
      </w:r>
    </w:p>
    <w:p w14:paraId="17A5EC03" w14:textId="76FAD6C9" w:rsidR="00CF1168" w:rsidRDefault="00CF1168" w:rsidP="00CF1168">
      <w:pPr>
        <w:numPr>
          <w:ilvl w:val="0"/>
          <w:numId w:val="4"/>
        </w:numPr>
        <w:spacing w:after="0"/>
        <w:rPr>
          <w:lang w:val="en-CA"/>
        </w:rPr>
      </w:pPr>
      <w:r w:rsidRPr="00CF1168">
        <w:rPr>
          <w:lang w:val="en-CA"/>
        </w:rPr>
        <w:t xml:space="preserve">In the example below, a rating scale of 1-10 is used for this purpose, with 10 being the highest rating. </w:t>
      </w:r>
    </w:p>
    <w:p w14:paraId="22ABF1E6" w14:textId="77777777" w:rsidR="00CF1168" w:rsidRPr="00CF1168" w:rsidRDefault="00CF1168" w:rsidP="00CF1168">
      <w:pPr>
        <w:spacing w:after="0"/>
        <w:ind w:left="360"/>
        <w:rPr>
          <w:lang w:val="en-CA"/>
        </w:rPr>
      </w:pPr>
    </w:p>
    <w:p w14:paraId="535BDF7E" w14:textId="77777777" w:rsidR="00CF1168" w:rsidRPr="00CF1168" w:rsidRDefault="00CF1168" w:rsidP="00CF1168">
      <w:pPr>
        <w:rPr>
          <w:b/>
          <w:bCs/>
          <w:lang w:val="en-CA"/>
        </w:rPr>
      </w:pPr>
      <w:r w:rsidRPr="00CF1168">
        <w:rPr>
          <w:b/>
          <w:bCs/>
          <w:lang w:val="en-CA"/>
        </w:rPr>
        <w:t>Evaluating with Rated Criteria Example</w:t>
      </w:r>
    </w:p>
    <w:p w14:paraId="0699CBA7" w14:textId="242E7D11" w:rsidR="00CF1168" w:rsidRPr="00CF1168" w:rsidRDefault="00CF1168" w:rsidP="00C81192">
      <w:pPr>
        <w:spacing w:after="0"/>
        <w:rPr>
          <w:lang w:val="en-CA"/>
        </w:rPr>
      </w:pPr>
      <w:r w:rsidRPr="00CF1168">
        <w:rPr>
          <w:lang w:val="en-CA"/>
        </w:rPr>
        <w:t xml:space="preserve">In this example, the Ontario business should be selected based on the total score. </w:t>
      </w:r>
    </w:p>
    <w:tbl>
      <w:tblPr>
        <w:tblStyle w:val="TableGrid"/>
        <w:tblpPr w:leftFromText="180" w:rightFromText="180" w:vertAnchor="text" w:horzAnchor="margin" w:tblpXSpec="center" w:tblpY="243"/>
        <w:tblW w:w="10632" w:type="dxa"/>
        <w:tblLayout w:type="fixed"/>
        <w:tblLook w:val="04A0" w:firstRow="1" w:lastRow="0" w:firstColumn="1" w:lastColumn="0" w:noHBand="0" w:noVBand="1"/>
      </w:tblPr>
      <w:tblGrid>
        <w:gridCol w:w="1422"/>
        <w:gridCol w:w="1272"/>
        <w:gridCol w:w="1296"/>
        <w:gridCol w:w="1509"/>
        <w:gridCol w:w="1436"/>
        <w:gridCol w:w="1251"/>
        <w:gridCol w:w="1544"/>
        <w:gridCol w:w="902"/>
      </w:tblGrid>
      <w:tr w:rsidR="00CF1168" w:rsidRPr="00CF1168" w14:paraId="662446C0" w14:textId="77777777" w:rsidTr="00C81192">
        <w:trPr>
          <w:trHeight w:val="1345"/>
        </w:trPr>
        <w:tc>
          <w:tcPr>
            <w:tcW w:w="1422" w:type="dxa"/>
            <w:tcBorders>
              <w:top w:val="nil"/>
              <w:left w:val="nil"/>
              <w:bottom w:val="single" w:sz="4" w:space="0" w:color="auto"/>
              <w:right w:val="single" w:sz="4" w:space="0" w:color="auto"/>
            </w:tcBorders>
            <w:shd w:val="clear" w:color="auto" w:fill="auto"/>
          </w:tcPr>
          <w:p w14:paraId="55268834" w14:textId="77777777" w:rsidR="00CF1168" w:rsidRPr="00CF1168" w:rsidRDefault="00CF1168" w:rsidP="00CF1168">
            <w:pPr>
              <w:spacing w:after="160" w:line="259" w:lineRule="auto"/>
              <w:rPr>
                <w:b/>
                <w:bCs/>
              </w:rPr>
            </w:pPr>
          </w:p>
        </w:tc>
        <w:tc>
          <w:tcPr>
            <w:tcW w:w="1272" w:type="dxa"/>
            <w:tcBorders>
              <w:left w:val="single" w:sz="4" w:space="0" w:color="auto"/>
            </w:tcBorders>
            <w:shd w:val="clear" w:color="auto" w:fill="F2F2F2" w:themeFill="background1" w:themeFillShade="F2"/>
            <w:vAlign w:val="center"/>
          </w:tcPr>
          <w:p w14:paraId="4244181E" w14:textId="77777777" w:rsidR="00CF1168" w:rsidRPr="00CF1168" w:rsidRDefault="00CF1168" w:rsidP="00C81192">
            <w:pPr>
              <w:spacing w:after="160" w:line="259" w:lineRule="auto"/>
              <w:jc w:val="center"/>
              <w:rPr>
                <w:b/>
                <w:bCs/>
              </w:rPr>
            </w:pPr>
            <w:r w:rsidRPr="00CF1168">
              <w:rPr>
                <w:b/>
                <w:bCs/>
              </w:rPr>
              <w:t>Quotation Price</w:t>
            </w:r>
          </w:p>
        </w:tc>
        <w:tc>
          <w:tcPr>
            <w:tcW w:w="1296" w:type="dxa"/>
            <w:shd w:val="clear" w:color="auto" w:fill="F2F2F2" w:themeFill="background1" w:themeFillShade="F2"/>
            <w:vAlign w:val="center"/>
          </w:tcPr>
          <w:p w14:paraId="495E1FF3" w14:textId="3EED3B61" w:rsidR="00CF1168" w:rsidRPr="00CF1168" w:rsidRDefault="00CF1168" w:rsidP="00C81192">
            <w:pPr>
              <w:spacing w:after="160" w:line="259" w:lineRule="auto"/>
              <w:jc w:val="center"/>
              <w:rPr>
                <w:b/>
                <w:bCs/>
              </w:rPr>
            </w:pPr>
            <w:r w:rsidRPr="00CF1168">
              <w:rPr>
                <w:b/>
                <w:bCs/>
              </w:rPr>
              <w:t>Rated Criteria 1 - Price</w:t>
            </w:r>
          </w:p>
          <w:p w14:paraId="3AFC7A14" w14:textId="77777777" w:rsidR="00CF1168" w:rsidRPr="00CF1168" w:rsidRDefault="00CF1168" w:rsidP="00C81192">
            <w:pPr>
              <w:spacing w:after="160" w:line="259" w:lineRule="auto"/>
              <w:jc w:val="center"/>
            </w:pPr>
            <w:r w:rsidRPr="00CF1168">
              <w:t>(40 Points)</w:t>
            </w:r>
          </w:p>
        </w:tc>
        <w:tc>
          <w:tcPr>
            <w:tcW w:w="1509" w:type="dxa"/>
            <w:shd w:val="clear" w:color="auto" w:fill="F2F2F2" w:themeFill="background1" w:themeFillShade="F2"/>
            <w:vAlign w:val="center"/>
          </w:tcPr>
          <w:p w14:paraId="02E43214" w14:textId="67E6F3BB" w:rsidR="00CF1168" w:rsidRPr="00CF1168" w:rsidRDefault="00CF1168" w:rsidP="00C81192">
            <w:pPr>
              <w:spacing w:after="160" w:line="259" w:lineRule="auto"/>
              <w:jc w:val="center"/>
              <w:rPr>
                <w:b/>
                <w:bCs/>
              </w:rPr>
            </w:pPr>
            <w:r w:rsidRPr="00CF1168">
              <w:rPr>
                <w:b/>
                <w:bCs/>
              </w:rPr>
              <w:t xml:space="preserve">Rated Criteria 2 </w:t>
            </w:r>
            <w:r w:rsidR="00C81192">
              <w:rPr>
                <w:b/>
                <w:bCs/>
              </w:rPr>
              <w:t xml:space="preserve">- </w:t>
            </w:r>
            <w:r w:rsidRPr="00CF1168">
              <w:rPr>
                <w:b/>
                <w:bCs/>
              </w:rPr>
              <w:t xml:space="preserve">Technical Requirements </w:t>
            </w:r>
            <w:r w:rsidRPr="00CF1168">
              <w:t>(30 Points)</w:t>
            </w:r>
          </w:p>
        </w:tc>
        <w:tc>
          <w:tcPr>
            <w:tcW w:w="1436" w:type="dxa"/>
            <w:shd w:val="clear" w:color="auto" w:fill="F2F2F2" w:themeFill="background1" w:themeFillShade="F2"/>
            <w:vAlign w:val="center"/>
          </w:tcPr>
          <w:p w14:paraId="0761D075" w14:textId="6EA25709" w:rsidR="00CF1168" w:rsidRPr="00CF1168" w:rsidRDefault="00CF1168" w:rsidP="00C81192">
            <w:pPr>
              <w:spacing w:after="160" w:line="259" w:lineRule="auto"/>
              <w:jc w:val="center"/>
              <w:rPr>
                <w:b/>
                <w:bCs/>
              </w:rPr>
            </w:pPr>
            <w:r w:rsidRPr="00CF1168">
              <w:rPr>
                <w:b/>
                <w:bCs/>
              </w:rPr>
              <w:t xml:space="preserve">Rated Criteria 3 </w:t>
            </w:r>
            <w:r w:rsidR="00C81192">
              <w:rPr>
                <w:b/>
                <w:bCs/>
              </w:rPr>
              <w:t xml:space="preserve">- </w:t>
            </w:r>
            <w:r w:rsidRPr="00CF1168">
              <w:rPr>
                <w:b/>
                <w:bCs/>
              </w:rPr>
              <w:t>Delivery Timelines</w:t>
            </w:r>
          </w:p>
          <w:p w14:paraId="4E86CBE8" w14:textId="77777777" w:rsidR="00CF1168" w:rsidRPr="00CF1168" w:rsidRDefault="00CF1168" w:rsidP="00C81192">
            <w:pPr>
              <w:spacing w:after="160" w:line="259" w:lineRule="auto"/>
              <w:jc w:val="center"/>
            </w:pPr>
            <w:r w:rsidRPr="00CF1168">
              <w:t>(10 Points)</w:t>
            </w:r>
          </w:p>
        </w:tc>
        <w:tc>
          <w:tcPr>
            <w:tcW w:w="1251" w:type="dxa"/>
            <w:shd w:val="clear" w:color="auto" w:fill="F2F2F2" w:themeFill="background1" w:themeFillShade="F2"/>
            <w:vAlign w:val="center"/>
          </w:tcPr>
          <w:p w14:paraId="244964FB" w14:textId="30B57DB5" w:rsidR="00CF1168" w:rsidRPr="00CF1168" w:rsidRDefault="00CF1168" w:rsidP="00C81192">
            <w:pPr>
              <w:spacing w:after="160" w:line="259" w:lineRule="auto"/>
              <w:jc w:val="center"/>
              <w:rPr>
                <w:b/>
                <w:bCs/>
              </w:rPr>
            </w:pPr>
            <w:r w:rsidRPr="00CF1168">
              <w:rPr>
                <w:b/>
                <w:bCs/>
              </w:rPr>
              <w:t xml:space="preserve">Rated Criteria 4 </w:t>
            </w:r>
            <w:r w:rsidR="00C81192">
              <w:rPr>
                <w:b/>
                <w:bCs/>
              </w:rPr>
              <w:t xml:space="preserve">- </w:t>
            </w:r>
            <w:r w:rsidRPr="00CF1168">
              <w:rPr>
                <w:b/>
                <w:bCs/>
              </w:rPr>
              <w:t>Warranty</w:t>
            </w:r>
          </w:p>
          <w:p w14:paraId="2EB3B658" w14:textId="77777777" w:rsidR="00CF1168" w:rsidRPr="00CF1168" w:rsidRDefault="00CF1168" w:rsidP="00C81192">
            <w:pPr>
              <w:spacing w:after="160" w:line="259" w:lineRule="auto"/>
              <w:jc w:val="center"/>
            </w:pPr>
            <w:r w:rsidRPr="00CF1168">
              <w:t>(10 Points)</w:t>
            </w:r>
          </w:p>
        </w:tc>
        <w:tc>
          <w:tcPr>
            <w:tcW w:w="1544" w:type="dxa"/>
            <w:shd w:val="clear" w:color="auto" w:fill="F2F2F2" w:themeFill="background1" w:themeFillShade="F2"/>
            <w:vAlign w:val="center"/>
          </w:tcPr>
          <w:p w14:paraId="3F671A8C" w14:textId="669DD06E" w:rsidR="00CF1168" w:rsidRPr="00CF1168" w:rsidRDefault="00CF1168" w:rsidP="00C81192">
            <w:pPr>
              <w:spacing w:after="160" w:line="259" w:lineRule="auto"/>
              <w:jc w:val="center"/>
              <w:rPr>
                <w:b/>
                <w:bCs/>
              </w:rPr>
            </w:pPr>
            <w:r w:rsidRPr="00CF1168">
              <w:rPr>
                <w:b/>
                <w:bCs/>
              </w:rPr>
              <w:t xml:space="preserve">Rated Criteria 5 </w:t>
            </w:r>
            <w:r w:rsidR="00C81192">
              <w:rPr>
                <w:b/>
                <w:bCs/>
              </w:rPr>
              <w:t xml:space="preserve">- </w:t>
            </w:r>
            <w:r w:rsidRPr="00CF1168">
              <w:rPr>
                <w:b/>
                <w:bCs/>
              </w:rPr>
              <w:t>Ontario Business Preferential Margin</w:t>
            </w:r>
          </w:p>
          <w:p w14:paraId="717238C2" w14:textId="77777777" w:rsidR="00CF1168" w:rsidRPr="00CF1168" w:rsidRDefault="00CF1168" w:rsidP="00C81192">
            <w:pPr>
              <w:spacing w:after="160" w:line="259" w:lineRule="auto"/>
              <w:jc w:val="center"/>
            </w:pPr>
            <w:r w:rsidRPr="00CF1168">
              <w:t>(10 Points)</w:t>
            </w:r>
          </w:p>
        </w:tc>
        <w:tc>
          <w:tcPr>
            <w:tcW w:w="902" w:type="dxa"/>
            <w:shd w:val="clear" w:color="auto" w:fill="F2F2F2" w:themeFill="background1" w:themeFillShade="F2"/>
            <w:vAlign w:val="center"/>
          </w:tcPr>
          <w:p w14:paraId="45F86AC1" w14:textId="77777777" w:rsidR="00CF1168" w:rsidRPr="00CF1168" w:rsidRDefault="00CF1168" w:rsidP="00C81192">
            <w:pPr>
              <w:spacing w:after="160" w:line="259" w:lineRule="auto"/>
              <w:jc w:val="center"/>
              <w:rPr>
                <w:b/>
                <w:bCs/>
              </w:rPr>
            </w:pPr>
            <w:r w:rsidRPr="00CF1168">
              <w:rPr>
                <w:b/>
                <w:bCs/>
              </w:rPr>
              <w:t>Total</w:t>
            </w:r>
          </w:p>
        </w:tc>
      </w:tr>
      <w:tr w:rsidR="00CF1168" w:rsidRPr="00CF1168" w14:paraId="3D4D8F36" w14:textId="77777777" w:rsidTr="00C81192">
        <w:trPr>
          <w:trHeight w:val="615"/>
        </w:trPr>
        <w:tc>
          <w:tcPr>
            <w:tcW w:w="1422" w:type="dxa"/>
            <w:tcBorders>
              <w:top w:val="single" w:sz="4" w:space="0" w:color="auto"/>
            </w:tcBorders>
            <w:shd w:val="clear" w:color="auto" w:fill="F2F2F2" w:themeFill="background1" w:themeFillShade="F2"/>
          </w:tcPr>
          <w:p w14:paraId="18BB2F62" w14:textId="77777777" w:rsidR="00CF1168" w:rsidRPr="00CF1168" w:rsidRDefault="00CF1168" w:rsidP="00CF1168">
            <w:pPr>
              <w:spacing w:after="160" w:line="259" w:lineRule="auto"/>
              <w:rPr>
                <w:b/>
                <w:bCs/>
              </w:rPr>
            </w:pPr>
            <w:r w:rsidRPr="00CF1168">
              <w:rPr>
                <w:b/>
                <w:bCs/>
              </w:rPr>
              <w:t xml:space="preserve">Supplier </w:t>
            </w:r>
            <w:proofErr w:type="gramStart"/>
            <w:r w:rsidRPr="00CF1168">
              <w:rPr>
                <w:b/>
                <w:bCs/>
              </w:rPr>
              <w:t>A</w:t>
            </w:r>
            <w:proofErr w:type="gramEnd"/>
            <w:r w:rsidRPr="00CF1168">
              <w:rPr>
                <w:b/>
                <w:bCs/>
              </w:rPr>
              <w:t xml:space="preserve"> </w:t>
            </w:r>
            <w:r w:rsidRPr="00CF1168">
              <w:t>Ontario Business</w:t>
            </w:r>
          </w:p>
        </w:tc>
        <w:tc>
          <w:tcPr>
            <w:tcW w:w="1272" w:type="dxa"/>
            <w:vAlign w:val="center"/>
          </w:tcPr>
          <w:p w14:paraId="60159133" w14:textId="77777777" w:rsidR="00CF1168" w:rsidRPr="00CF1168" w:rsidRDefault="00CF1168" w:rsidP="00C81192">
            <w:pPr>
              <w:spacing w:after="160" w:line="259" w:lineRule="auto"/>
              <w:jc w:val="center"/>
            </w:pPr>
            <w:r w:rsidRPr="00CF1168">
              <w:t>$27,500.00</w:t>
            </w:r>
          </w:p>
        </w:tc>
        <w:tc>
          <w:tcPr>
            <w:tcW w:w="1296" w:type="dxa"/>
            <w:vAlign w:val="center"/>
          </w:tcPr>
          <w:p w14:paraId="3670401F" w14:textId="77777777" w:rsidR="00CF1168" w:rsidRPr="00CF1168" w:rsidRDefault="00CF1168" w:rsidP="00C81192">
            <w:pPr>
              <w:spacing w:after="160" w:line="259" w:lineRule="auto"/>
              <w:jc w:val="center"/>
            </w:pPr>
            <w:r w:rsidRPr="00CF1168">
              <w:t>36.4</w:t>
            </w:r>
          </w:p>
        </w:tc>
        <w:tc>
          <w:tcPr>
            <w:tcW w:w="1509" w:type="dxa"/>
            <w:vAlign w:val="center"/>
          </w:tcPr>
          <w:p w14:paraId="0B58C300" w14:textId="77777777" w:rsidR="00CF1168" w:rsidRPr="00CF1168" w:rsidRDefault="00CF1168" w:rsidP="00C81192">
            <w:pPr>
              <w:spacing w:after="160" w:line="259" w:lineRule="auto"/>
              <w:jc w:val="center"/>
            </w:pPr>
            <w:r w:rsidRPr="00CF1168">
              <w:t>27</w:t>
            </w:r>
          </w:p>
        </w:tc>
        <w:tc>
          <w:tcPr>
            <w:tcW w:w="1436" w:type="dxa"/>
            <w:vAlign w:val="center"/>
          </w:tcPr>
          <w:p w14:paraId="673D9364" w14:textId="77777777" w:rsidR="00CF1168" w:rsidRPr="00CF1168" w:rsidRDefault="00CF1168" w:rsidP="00C81192">
            <w:pPr>
              <w:spacing w:after="160" w:line="259" w:lineRule="auto"/>
              <w:jc w:val="center"/>
            </w:pPr>
            <w:r w:rsidRPr="00CF1168">
              <w:t>10</w:t>
            </w:r>
          </w:p>
        </w:tc>
        <w:tc>
          <w:tcPr>
            <w:tcW w:w="1251" w:type="dxa"/>
            <w:vAlign w:val="center"/>
          </w:tcPr>
          <w:p w14:paraId="404C4C9A" w14:textId="77777777" w:rsidR="00CF1168" w:rsidRPr="00CF1168" w:rsidRDefault="00CF1168" w:rsidP="00C81192">
            <w:pPr>
              <w:spacing w:after="160" w:line="259" w:lineRule="auto"/>
              <w:jc w:val="center"/>
            </w:pPr>
            <w:r w:rsidRPr="00CF1168">
              <w:t>10</w:t>
            </w:r>
          </w:p>
        </w:tc>
        <w:tc>
          <w:tcPr>
            <w:tcW w:w="1544" w:type="dxa"/>
            <w:vAlign w:val="center"/>
          </w:tcPr>
          <w:p w14:paraId="4A2391A7" w14:textId="77777777" w:rsidR="00CF1168" w:rsidRPr="00CF1168" w:rsidRDefault="00CF1168" w:rsidP="00C81192">
            <w:pPr>
              <w:spacing w:after="160" w:line="259" w:lineRule="auto"/>
              <w:jc w:val="center"/>
            </w:pPr>
            <w:r w:rsidRPr="00CF1168">
              <w:t>10</w:t>
            </w:r>
          </w:p>
        </w:tc>
        <w:tc>
          <w:tcPr>
            <w:tcW w:w="902" w:type="dxa"/>
            <w:vAlign w:val="center"/>
          </w:tcPr>
          <w:p w14:paraId="5197881D" w14:textId="77777777" w:rsidR="00CF1168" w:rsidRPr="00CF1168" w:rsidRDefault="00CF1168" w:rsidP="00C81192">
            <w:pPr>
              <w:spacing w:after="160" w:line="259" w:lineRule="auto"/>
              <w:jc w:val="center"/>
            </w:pPr>
            <w:r w:rsidRPr="00CF1168">
              <w:t>93.4</w:t>
            </w:r>
          </w:p>
        </w:tc>
      </w:tr>
      <w:tr w:rsidR="00CF1168" w:rsidRPr="00CF1168" w14:paraId="291F6174" w14:textId="77777777" w:rsidTr="00C81192">
        <w:trPr>
          <w:trHeight w:val="695"/>
        </w:trPr>
        <w:tc>
          <w:tcPr>
            <w:tcW w:w="1422" w:type="dxa"/>
            <w:shd w:val="clear" w:color="auto" w:fill="F2F2F2" w:themeFill="background1" w:themeFillShade="F2"/>
          </w:tcPr>
          <w:p w14:paraId="637BD9D1" w14:textId="77777777" w:rsidR="00CF1168" w:rsidRPr="00CF1168" w:rsidRDefault="00CF1168" w:rsidP="00CF1168">
            <w:pPr>
              <w:spacing w:after="160" w:line="259" w:lineRule="auto"/>
              <w:rPr>
                <w:b/>
                <w:bCs/>
              </w:rPr>
            </w:pPr>
            <w:r w:rsidRPr="00CF1168">
              <w:rPr>
                <w:b/>
                <w:bCs/>
              </w:rPr>
              <w:t xml:space="preserve">Supplier B </w:t>
            </w:r>
            <w:r w:rsidRPr="00CF1168">
              <w:t>Non-Ontario Business</w:t>
            </w:r>
            <w:r w:rsidRPr="00CF1168">
              <w:rPr>
                <w:b/>
                <w:bCs/>
              </w:rPr>
              <w:t xml:space="preserve"> </w:t>
            </w:r>
          </w:p>
        </w:tc>
        <w:tc>
          <w:tcPr>
            <w:tcW w:w="1272" w:type="dxa"/>
            <w:vAlign w:val="center"/>
          </w:tcPr>
          <w:p w14:paraId="2160008B" w14:textId="77777777" w:rsidR="00CF1168" w:rsidRPr="00CF1168" w:rsidRDefault="00CF1168" w:rsidP="00C81192">
            <w:pPr>
              <w:spacing w:after="160" w:line="259" w:lineRule="auto"/>
              <w:jc w:val="center"/>
            </w:pPr>
            <w:r w:rsidRPr="00CF1168">
              <w:t>$25,000.00</w:t>
            </w:r>
          </w:p>
        </w:tc>
        <w:tc>
          <w:tcPr>
            <w:tcW w:w="1296" w:type="dxa"/>
            <w:vAlign w:val="center"/>
          </w:tcPr>
          <w:p w14:paraId="7B019142" w14:textId="77777777" w:rsidR="00CF1168" w:rsidRPr="00CF1168" w:rsidRDefault="00CF1168" w:rsidP="00C81192">
            <w:pPr>
              <w:spacing w:after="160" w:line="259" w:lineRule="auto"/>
              <w:jc w:val="center"/>
            </w:pPr>
            <w:r w:rsidRPr="00CF1168">
              <w:t>40</w:t>
            </w:r>
          </w:p>
        </w:tc>
        <w:tc>
          <w:tcPr>
            <w:tcW w:w="1509" w:type="dxa"/>
            <w:vAlign w:val="center"/>
          </w:tcPr>
          <w:p w14:paraId="062E9D19" w14:textId="77777777" w:rsidR="00CF1168" w:rsidRPr="00CF1168" w:rsidRDefault="00CF1168" w:rsidP="00C81192">
            <w:pPr>
              <w:spacing w:after="160" w:line="259" w:lineRule="auto"/>
              <w:jc w:val="center"/>
            </w:pPr>
            <w:r w:rsidRPr="00CF1168">
              <w:t>15</w:t>
            </w:r>
          </w:p>
        </w:tc>
        <w:tc>
          <w:tcPr>
            <w:tcW w:w="1436" w:type="dxa"/>
            <w:vAlign w:val="center"/>
          </w:tcPr>
          <w:p w14:paraId="454D6EF8" w14:textId="77777777" w:rsidR="00CF1168" w:rsidRPr="00CF1168" w:rsidRDefault="00CF1168" w:rsidP="00C81192">
            <w:pPr>
              <w:spacing w:after="160" w:line="259" w:lineRule="auto"/>
              <w:jc w:val="center"/>
            </w:pPr>
            <w:r w:rsidRPr="00CF1168">
              <w:t>10</w:t>
            </w:r>
          </w:p>
        </w:tc>
        <w:tc>
          <w:tcPr>
            <w:tcW w:w="1251" w:type="dxa"/>
            <w:vAlign w:val="center"/>
          </w:tcPr>
          <w:p w14:paraId="46A70459" w14:textId="77777777" w:rsidR="00CF1168" w:rsidRPr="00CF1168" w:rsidRDefault="00CF1168" w:rsidP="00C81192">
            <w:pPr>
              <w:spacing w:after="160" w:line="259" w:lineRule="auto"/>
              <w:jc w:val="center"/>
            </w:pPr>
            <w:r w:rsidRPr="00CF1168">
              <w:t>10</w:t>
            </w:r>
          </w:p>
        </w:tc>
        <w:tc>
          <w:tcPr>
            <w:tcW w:w="1544" w:type="dxa"/>
            <w:vAlign w:val="center"/>
          </w:tcPr>
          <w:p w14:paraId="105EA586" w14:textId="77777777" w:rsidR="00CF1168" w:rsidRPr="00CF1168" w:rsidRDefault="00CF1168" w:rsidP="00C81192">
            <w:pPr>
              <w:spacing w:after="160" w:line="259" w:lineRule="auto"/>
              <w:jc w:val="center"/>
            </w:pPr>
            <w:r w:rsidRPr="00CF1168">
              <w:t>0</w:t>
            </w:r>
          </w:p>
        </w:tc>
        <w:tc>
          <w:tcPr>
            <w:tcW w:w="902" w:type="dxa"/>
            <w:vAlign w:val="center"/>
          </w:tcPr>
          <w:p w14:paraId="1A00BB55" w14:textId="77777777" w:rsidR="00CF1168" w:rsidRPr="00CF1168" w:rsidRDefault="00CF1168" w:rsidP="00C81192">
            <w:pPr>
              <w:spacing w:after="160" w:line="259" w:lineRule="auto"/>
              <w:jc w:val="center"/>
            </w:pPr>
            <w:r w:rsidRPr="00CF1168">
              <w:t>75</w:t>
            </w:r>
          </w:p>
        </w:tc>
      </w:tr>
      <w:tr w:rsidR="00CF1168" w:rsidRPr="00CF1168" w14:paraId="2F41496C" w14:textId="77777777" w:rsidTr="00C81192">
        <w:trPr>
          <w:trHeight w:val="867"/>
        </w:trPr>
        <w:tc>
          <w:tcPr>
            <w:tcW w:w="1422" w:type="dxa"/>
            <w:shd w:val="clear" w:color="auto" w:fill="F2F2F2" w:themeFill="background1" w:themeFillShade="F2"/>
          </w:tcPr>
          <w:p w14:paraId="33EA741C" w14:textId="77777777" w:rsidR="00CF1168" w:rsidRPr="00CF1168" w:rsidRDefault="00CF1168" w:rsidP="00CF1168">
            <w:pPr>
              <w:spacing w:after="160" w:line="259" w:lineRule="auto"/>
              <w:rPr>
                <w:b/>
                <w:bCs/>
              </w:rPr>
            </w:pPr>
            <w:r w:rsidRPr="00CF1168">
              <w:rPr>
                <w:b/>
                <w:bCs/>
              </w:rPr>
              <w:t xml:space="preserve">Supplier </w:t>
            </w:r>
            <w:proofErr w:type="gramStart"/>
            <w:r w:rsidRPr="00CF1168">
              <w:rPr>
                <w:b/>
                <w:bCs/>
              </w:rPr>
              <w:t xml:space="preserve">C  </w:t>
            </w:r>
            <w:r w:rsidRPr="00CF1168">
              <w:t>Non</w:t>
            </w:r>
            <w:proofErr w:type="gramEnd"/>
            <w:r w:rsidRPr="00CF1168">
              <w:t>-Ontario Business</w:t>
            </w:r>
          </w:p>
        </w:tc>
        <w:tc>
          <w:tcPr>
            <w:tcW w:w="1272" w:type="dxa"/>
            <w:vAlign w:val="center"/>
          </w:tcPr>
          <w:p w14:paraId="44752F43" w14:textId="77777777" w:rsidR="00CF1168" w:rsidRPr="00CF1168" w:rsidRDefault="00CF1168" w:rsidP="00C81192">
            <w:pPr>
              <w:spacing w:after="160" w:line="259" w:lineRule="auto"/>
              <w:jc w:val="center"/>
            </w:pPr>
            <w:r w:rsidRPr="00CF1168">
              <w:t>$30,000.00</w:t>
            </w:r>
          </w:p>
        </w:tc>
        <w:tc>
          <w:tcPr>
            <w:tcW w:w="1296" w:type="dxa"/>
            <w:vAlign w:val="center"/>
          </w:tcPr>
          <w:p w14:paraId="5EA2F60E" w14:textId="77777777" w:rsidR="00CF1168" w:rsidRPr="00CF1168" w:rsidRDefault="00CF1168" w:rsidP="00C81192">
            <w:pPr>
              <w:spacing w:after="160" w:line="259" w:lineRule="auto"/>
              <w:jc w:val="center"/>
            </w:pPr>
            <w:r w:rsidRPr="00CF1168">
              <w:t>33.3</w:t>
            </w:r>
          </w:p>
        </w:tc>
        <w:tc>
          <w:tcPr>
            <w:tcW w:w="1509" w:type="dxa"/>
            <w:vAlign w:val="center"/>
          </w:tcPr>
          <w:p w14:paraId="2CC65353" w14:textId="77777777" w:rsidR="00CF1168" w:rsidRPr="00CF1168" w:rsidRDefault="00CF1168" w:rsidP="00C81192">
            <w:pPr>
              <w:spacing w:after="160" w:line="259" w:lineRule="auto"/>
              <w:jc w:val="center"/>
            </w:pPr>
            <w:r w:rsidRPr="00CF1168">
              <w:t>24</w:t>
            </w:r>
          </w:p>
        </w:tc>
        <w:tc>
          <w:tcPr>
            <w:tcW w:w="1436" w:type="dxa"/>
            <w:vAlign w:val="center"/>
          </w:tcPr>
          <w:p w14:paraId="4F7761A1" w14:textId="77777777" w:rsidR="00CF1168" w:rsidRPr="00CF1168" w:rsidRDefault="00CF1168" w:rsidP="00C81192">
            <w:pPr>
              <w:spacing w:after="160" w:line="259" w:lineRule="auto"/>
              <w:jc w:val="center"/>
            </w:pPr>
            <w:r w:rsidRPr="00CF1168">
              <w:t>10</w:t>
            </w:r>
          </w:p>
        </w:tc>
        <w:tc>
          <w:tcPr>
            <w:tcW w:w="1251" w:type="dxa"/>
            <w:vAlign w:val="center"/>
          </w:tcPr>
          <w:p w14:paraId="31E94C75" w14:textId="77777777" w:rsidR="00CF1168" w:rsidRPr="00CF1168" w:rsidRDefault="00CF1168" w:rsidP="00C81192">
            <w:pPr>
              <w:spacing w:after="160" w:line="259" w:lineRule="auto"/>
              <w:jc w:val="center"/>
            </w:pPr>
            <w:r w:rsidRPr="00CF1168">
              <w:t>10</w:t>
            </w:r>
          </w:p>
        </w:tc>
        <w:tc>
          <w:tcPr>
            <w:tcW w:w="1544" w:type="dxa"/>
            <w:vAlign w:val="center"/>
          </w:tcPr>
          <w:p w14:paraId="5E26FEB7" w14:textId="77777777" w:rsidR="00CF1168" w:rsidRPr="00CF1168" w:rsidRDefault="00CF1168" w:rsidP="00C81192">
            <w:pPr>
              <w:spacing w:after="160" w:line="259" w:lineRule="auto"/>
              <w:jc w:val="center"/>
            </w:pPr>
            <w:r w:rsidRPr="00CF1168">
              <w:t>0</w:t>
            </w:r>
          </w:p>
        </w:tc>
        <w:tc>
          <w:tcPr>
            <w:tcW w:w="902" w:type="dxa"/>
            <w:vAlign w:val="center"/>
          </w:tcPr>
          <w:p w14:paraId="1906A6FF" w14:textId="77777777" w:rsidR="00CF1168" w:rsidRPr="00CF1168" w:rsidRDefault="00CF1168" w:rsidP="00C81192">
            <w:pPr>
              <w:spacing w:after="160" w:line="259" w:lineRule="auto"/>
              <w:jc w:val="center"/>
            </w:pPr>
            <w:r w:rsidRPr="00CF1168">
              <w:t>77.3</w:t>
            </w:r>
          </w:p>
        </w:tc>
      </w:tr>
    </w:tbl>
    <w:p w14:paraId="1820CB9A" w14:textId="77777777" w:rsidR="00CF1168" w:rsidRDefault="00CF1168" w:rsidP="005C1CA2"/>
    <w:p w14:paraId="5DC91343" w14:textId="61CEBE2D" w:rsidR="00476304" w:rsidRDefault="00ED4119" w:rsidP="00CF1168">
      <w:r>
        <w:t xml:space="preserve"> </w:t>
      </w:r>
    </w:p>
    <w:sectPr w:rsidR="00476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6750"/>
    <w:multiLevelType w:val="hybridMultilevel"/>
    <w:tmpl w:val="6686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70AFA"/>
    <w:multiLevelType w:val="hybridMultilevel"/>
    <w:tmpl w:val="978A1F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8B678E7"/>
    <w:multiLevelType w:val="hybridMultilevel"/>
    <w:tmpl w:val="BDA03512"/>
    <w:lvl w:ilvl="0" w:tplc="10090001">
      <w:start w:val="1"/>
      <w:numFmt w:val="bullet"/>
      <w:lvlText w:val=""/>
      <w:lvlJc w:val="left"/>
      <w:pPr>
        <w:ind w:left="360" w:hanging="360"/>
      </w:pPr>
      <w:rPr>
        <w:rFonts w:ascii="Symbol" w:hAnsi="Symbol" w:hint="default"/>
        <w:color w:val="auto"/>
        <w:w w:val="100"/>
        <w:sz w:val="32"/>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1B4123D"/>
    <w:multiLevelType w:val="hybridMultilevel"/>
    <w:tmpl w:val="BB7287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7DC7300"/>
    <w:multiLevelType w:val="hybridMultilevel"/>
    <w:tmpl w:val="F716B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713022">
    <w:abstractNumId w:val="0"/>
  </w:num>
  <w:num w:numId="2" w16cid:durableId="264656441">
    <w:abstractNumId w:val="4"/>
  </w:num>
  <w:num w:numId="3" w16cid:durableId="1713186945">
    <w:abstractNumId w:val="1"/>
  </w:num>
  <w:num w:numId="4" w16cid:durableId="199825131">
    <w:abstractNumId w:val="2"/>
  </w:num>
  <w:num w:numId="5" w16cid:durableId="2050105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304"/>
    <w:rsid w:val="0005519F"/>
    <w:rsid w:val="00090386"/>
    <w:rsid w:val="000A1A67"/>
    <w:rsid w:val="000E61D7"/>
    <w:rsid w:val="00102408"/>
    <w:rsid w:val="00106AA8"/>
    <w:rsid w:val="0012081E"/>
    <w:rsid w:val="00133F09"/>
    <w:rsid w:val="00163285"/>
    <w:rsid w:val="00166CFA"/>
    <w:rsid w:val="001852B0"/>
    <w:rsid w:val="001905E1"/>
    <w:rsid w:val="001B0547"/>
    <w:rsid w:val="001B7BC4"/>
    <w:rsid w:val="001D2AD4"/>
    <w:rsid w:val="002B3139"/>
    <w:rsid w:val="00302876"/>
    <w:rsid w:val="00325044"/>
    <w:rsid w:val="00336693"/>
    <w:rsid w:val="003558E6"/>
    <w:rsid w:val="00381C31"/>
    <w:rsid w:val="003C2E24"/>
    <w:rsid w:val="004505DB"/>
    <w:rsid w:val="004536D6"/>
    <w:rsid w:val="00476304"/>
    <w:rsid w:val="00587176"/>
    <w:rsid w:val="005C1CA2"/>
    <w:rsid w:val="005E16FD"/>
    <w:rsid w:val="006A2EC4"/>
    <w:rsid w:val="006E1727"/>
    <w:rsid w:val="00714FDA"/>
    <w:rsid w:val="007233D3"/>
    <w:rsid w:val="007310D3"/>
    <w:rsid w:val="007320CB"/>
    <w:rsid w:val="00734BD4"/>
    <w:rsid w:val="007802FE"/>
    <w:rsid w:val="007D3269"/>
    <w:rsid w:val="009170ED"/>
    <w:rsid w:val="00972BE1"/>
    <w:rsid w:val="00A70ACC"/>
    <w:rsid w:val="00A93C4F"/>
    <w:rsid w:val="00AD66F3"/>
    <w:rsid w:val="00B141EF"/>
    <w:rsid w:val="00B72982"/>
    <w:rsid w:val="00B8632E"/>
    <w:rsid w:val="00BB221A"/>
    <w:rsid w:val="00BC2F14"/>
    <w:rsid w:val="00C74AFD"/>
    <w:rsid w:val="00C81192"/>
    <w:rsid w:val="00CE34A0"/>
    <w:rsid w:val="00CF1168"/>
    <w:rsid w:val="00CF79AE"/>
    <w:rsid w:val="00D02EDB"/>
    <w:rsid w:val="00D30D03"/>
    <w:rsid w:val="00D776E8"/>
    <w:rsid w:val="00D77C22"/>
    <w:rsid w:val="00D93C7D"/>
    <w:rsid w:val="00DA402C"/>
    <w:rsid w:val="00DF3D54"/>
    <w:rsid w:val="00E32320"/>
    <w:rsid w:val="00E8604A"/>
    <w:rsid w:val="00ED4119"/>
    <w:rsid w:val="00FB26A5"/>
    <w:rsid w:val="00FB6FD5"/>
    <w:rsid w:val="00FD6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5F9E"/>
  <w15:chartTrackingRefBased/>
  <w15:docId w15:val="{85381D8A-D793-4145-95FB-B9C05A18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2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11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876"/>
    <w:pPr>
      <w:ind w:left="720"/>
      <w:contextualSpacing/>
    </w:pPr>
  </w:style>
  <w:style w:type="character" w:styleId="Hyperlink">
    <w:name w:val="Hyperlink"/>
    <w:basedOn w:val="DefaultParagraphFont"/>
    <w:uiPriority w:val="99"/>
    <w:unhideWhenUsed/>
    <w:rsid w:val="00ED4119"/>
    <w:rPr>
      <w:color w:val="0563C1" w:themeColor="hyperlink"/>
      <w:u w:val="single"/>
    </w:rPr>
  </w:style>
  <w:style w:type="character" w:customStyle="1" w:styleId="UnresolvedMention1">
    <w:name w:val="Unresolved Mention1"/>
    <w:basedOn w:val="DefaultParagraphFont"/>
    <w:uiPriority w:val="99"/>
    <w:semiHidden/>
    <w:unhideWhenUsed/>
    <w:rsid w:val="00ED4119"/>
    <w:rPr>
      <w:color w:val="605E5C"/>
      <w:shd w:val="clear" w:color="auto" w:fill="E1DFDD"/>
    </w:rPr>
  </w:style>
  <w:style w:type="character" w:styleId="FollowedHyperlink">
    <w:name w:val="FollowedHyperlink"/>
    <w:basedOn w:val="DefaultParagraphFont"/>
    <w:uiPriority w:val="99"/>
    <w:semiHidden/>
    <w:unhideWhenUsed/>
    <w:rsid w:val="007233D3"/>
    <w:rPr>
      <w:color w:val="954F72" w:themeColor="followedHyperlink"/>
      <w:u w:val="single"/>
    </w:rPr>
  </w:style>
  <w:style w:type="table" w:styleId="TableGrid">
    <w:name w:val="Table Grid"/>
    <w:basedOn w:val="TableNormal"/>
    <w:uiPriority w:val="39"/>
    <w:rsid w:val="00CF1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F1168"/>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B72982"/>
    <w:rPr>
      <w:color w:val="605E5C"/>
      <w:shd w:val="clear" w:color="auto" w:fill="E1DFDD"/>
    </w:rPr>
  </w:style>
  <w:style w:type="paragraph" w:styleId="Title">
    <w:name w:val="Title"/>
    <w:basedOn w:val="Normal"/>
    <w:next w:val="Normal"/>
    <w:link w:val="TitleChar"/>
    <w:uiPriority w:val="10"/>
    <w:qFormat/>
    <w:rsid w:val="001852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2B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852B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onOntario%20Justification%20Form%20BOBIA.docx" TargetMode="External"/><Relationship Id="rId3" Type="http://schemas.openxmlformats.org/officeDocument/2006/relationships/settings" Target="settings.xml"/><Relationship Id="rId7" Type="http://schemas.openxmlformats.org/officeDocument/2006/relationships/hyperlink" Target="mailto:purchasing@trent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VITATION%20TO%20QUOTE%20CFI%20under%20$121200%20Trent%20template_BOBIA.docx" TargetMode="External"/><Relationship Id="rId5" Type="http://schemas.openxmlformats.org/officeDocument/2006/relationships/hyperlink" Target="INVITATION%20TO%20QUOTE%20Goods%20or%20Services%20under%20$121200%20Trent%20template_BOBIA.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1492</TotalTime>
  <Pages>5</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Driscoll</dc:creator>
  <cp:keywords/>
  <dc:description/>
  <cp:lastModifiedBy>Tammy Driscoll</cp:lastModifiedBy>
  <cp:revision>12</cp:revision>
  <dcterms:created xsi:type="dcterms:W3CDTF">2025-03-10T14:57:00Z</dcterms:created>
  <dcterms:modified xsi:type="dcterms:W3CDTF">2025-03-14T20:45:00Z</dcterms:modified>
</cp:coreProperties>
</file>