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E6D66" w14:textId="77777777" w:rsidR="00D64C94" w:rsidRPr="00FC415A" w:rsidRDefault="00D430AB">
      <w:pPr>
        <w:rPr>
          <w:sz w:val="32"/>
          <w:szCs w:val="32"/>
        </w:rPr>
      </w:pPr>
      <w:r>
        <w:rPr>
          <w:sz w:val="32"/>
          <w:szCs w:val="32"/>
        </w:rPr>
        <w:t xml:space="preserve"> </w:t>
      </w:r>
    </w:p>
    <w:sdt>
      <w:sdtPr>
        <w:id w:val="154042960"/>
        <w:docPartObj>
          <w:docPartGallery w:val="Cover Pages"/>
          <w:docPartUnique/>
        </w:docPartObj>
      </w:sdtPr>
      <w:sdtEndPr>
        <w:rPr>
          <w:rFonts w:asciiTheme="majorHAnsi" w:eastAsiaTheme="majorEastAsia" w:hAnsiTheme="majorHAnsi" w:cstheme="majorBidi"/>
          <w:color w:val="1F497D" w:themeColor="text2"/>
          <w:spacing w:val="5"/>
          <w:kern w:val="28"/>
          <w:sz w:val="96"/>
          <w:szCs w:val="56"/>
          <w14:ligatures w14:val="standardContextual"/>
          <w14:cntxtAlts/>
        </w:rPr>
      </w:sdtEndPr>
      <w:sdtContent>
        <w:p w14:paraId="6DF7B8F8" w14:textId="77777777" w:rsidR="00325EA0" w:rsidRPr="00E00C7F" w:rsidRDefault="00325EA0" w:rsidP="009A631B">
          <w:pPr>
            <w:spacing w:after="110"/>
          </w:pPr>
        </w:p>
        <w:p w14:paraId="537FF6E8" w14:textId="77777777" w:rsidR="009A631B" w:rsidRPr="009A631B" w:rsidRDefault="00747573" w:rsidP="009A631B">
          <w:pPr>
            <w:spacing w:after="88" w:line="240" w:lineRule="auto"/>
            <w:contextualSpacing/>
            <w:jc w:val="center"/>
            <w:rPr>
              <w:rFonts w:ascii="Calibri" w:eastAsiaTheme="majorEastAsia" w:hAnsi="Calibri" w:cs="Calibri"/>
              <w:color w:val="1F497D" w:themeColor="text2"/>
              <w:spacing w:val="5"/>
              <w:kern w:val="28"/>
              <w:sz w:val="96"/>
              <w:szCs w:val="56"/>
              <w14:ligatures w14:val="standardContextual"/>
              <w14:cntxtAlts/>
            </w:rPr>
          </w:pPr>
          <w:r w:rsidRPr="00747573">
            <w:rPr>
              <w:rFonts w:ascii="Calibri" w:eastAsiaTheme="majorEastAsia" w:hAnsi="Calibri" w:cs="Calibri"/>
              <w:color w:val="1F497D" w:themeColor="text2"/>
              <w:spacing w:val="5"/>
              <w:kern w:val="28"/>
              <w:sz w:val="96"/>
              <w:szCs w:val="56"/>
              <w14:ligatures w14:val="standardContextual"/>
              <w14:cntxtAlts/>
            </w:rPr>
            <w:t xml:space="preserve"> </w:t>
          </w:r>
          <w:r w:rsidRPr="0009050A">
            <w:rPr>
              <w:rFonts w:ascii="Calibri" w:eastAsiaTheme="majorEastAsia" w:hAnsi="Calibri" w:cs="Calibri"/>
              <w:color w:val="1F497D" w:themeColor="text2"/>
              <w:spacing w:val="5"/>
              <w:kern w:val="28"/>
              <w:sz w:val="96"/>
              <w:szCs w:val="56"/>
              <w14:ligatures w14:val="standardContextual"/>
              <w14:cntxtAlts/>
            </w:rPr>
            <w:t>STRATEGIC MANDATE AGREEMENT</w:t>
          </w:r>
        </w:p>
      </w:sdtContent>
    </w:sdt>
    <w:p w14:paraId="6F300303" w14:textId="77777777" w:rsidR="00080D73" w:rsidRDefault="00080D73" w:rsidP="009A631B">
      <w:pPr>
        <w:spacing w:after="160" w:line="240" w:lineRule="auto"/>
        <w:contextualSpacing/>
        <w:rPr>
          <w:rFonts w:asciiTheme="majorHAnsi" w:eastAsiaTheme="majorEastAsia" w:hAnsiTheme="majorHAnsi" w:cstheme="majorBidi"/>
          <w:spacing w:val="5"/>
          <w:sz w:val="52"/>
          <w:szCs w:val="52"/>
        </w:rPr>
      </w:pPr>
    </w:p>
    <w:p w14:paraId="1FF0770A" w14:textId="77777777" w:rsidR="00080D73" w:rsidRDefault="000D6F8A" w:rsidP="00080D73">
      <w:pPr>
        <w:spacing w:after="160" w:line="240" w:lineRule="auto"/>
        <w:contextualSpacing/>
        <w:jc w:val="center"/>
        <w:rPr>
          <w:rFonts w:ascii="Calibri" w:eastAsiaTheme="majorEastAsia" w:hAnsi="Calibri" w:cs="Calibri"/>
          <w:iCs/>
          <w:color w:val="000000" w:themeColor="text1"/>
          <w:spacing w:val="15"/>
          <w:sz w:val="36"/>
          <w:szCs w:val="36"/>
        </w:rPr>
      </w:pPr>
      <w:r>
        <w:rPr>
          <w:rFonts w:ascii="Calibri" w:eastAsiaTheme="majorEastAsia" w:hAnsi="Calibri" w:cs="Calibri"/>
          <w:iCs/>
          <w:color w:val="000000" w:themeColor="text1"/>
          <w:spacing w:val="15"/>
          <w:sz w:val="36"/>
          <w:szCs w:val="36"/>
        </w:rPr>
        <w:t>Trent University</w:t>
      </w:r>
      <w:r w:rsidR="00080D73">
        <w:rPr>
          <w:rFonts w:ascii="Calibri" w:eastAsiaTheme="majorEastAsia" w:hAnsi="Calibri" w:cs="Calibri"/>
          <w:iCs/>
          <w:color w:val="000000" w:themeColor="text1"/>
          <w:spacing w:val="15"/>
          <w:sz w:val="36"/>
          <w:szCs w:val="36"/>
        </w:rPr>
        <w:t xml:space="preserve"> </w:t>
      </w:r>
      <w:r w:rsidR="00592099">
        <w:rPr>
          <w:rFonts w:ascii="Calibri" w:eastAsiaTheme="majorEastAsia" w:hAnsi="Calibri" w:cs="Calibri"/>
          <w:iCs/>
          <w:color w:val="000000" w:themeColor="text1"/>
          <w:spacing w:val="15"/>
          <w:sz w:val="36"/>
          <w:szCs w:val="36"/>
        </w:rPr>
        <w:t>and the</w:t>
      </w:r>
    </w:p>
    <w:p w14:paraId="6713724D" w14:textId="77777777" w:rsidR="006A7758" w:rsidRDefault="006A7758" w:rsidP="00080D73">
      <w:pPr>
        <w:spacing w:after="160" w:line="240" w:lineRule="auto"/>
        <w:contextualSpacing/>
        <w:jc w:val="center"/>
        <w:rPr>
          <w:rFonts w:ascii="Calibri" w:eastAsiaTheme="majorEastAsia" w:hAnsi="Calibri" w:cs="Calibri"/>
          <w:iCs/>
          <w:color w:val="000000" w:themeColor="text1"/>
          <w:spacing w:val="15"/>
          <w:sz w:val="36"/>
          <w:szCs w:val="36"/>
        </w:rPr>
      </w:pPr>
      <w:r>
        <w:rPr>
          <w:rFonts w:ascii="Calibri" w:eastAsiaTheme="majorEastAsia" w:hAnsi="Calibri" w:cs="Calibri"/>
          <w:iCs/>
          <w:color w:val="000000" w:themeColor="text1"/>
          <w:spacing w:val="15"/>
          <w:sz w:val="36"/>
          <w:szCs w:val="36"/>
        </w:rPr>
        <w:t xml:space="preserve">Ministry of Advanced Education and Skills Development </w:t>
      </w:r>
    </w:p>
    <w:p w14:paraId="7014F299" w14:textId="77777777" w:rsidR="00080D73" w:rsidRDefault="00080D73" w:rsidP="00080D73">
      <w:pPr>
        <w:spacing w:after="160" w:line="240" w:lineRule="auto"/>
        <w:contextualSpacing/>
        <w:jc w:val="center"/>
        <w:rPr>
          <w:rFonts w:ascii="Calibri" w:eastAsiaTheme="majorEastAsia" w:hAnsi="Calibri" w:cs="Calibri"/>
          <w:iCs/>
          <w:color w:val="000000" w:themeColor="text1"/>
          <w:spacing w:val="15"/>
          <w:sz w:val="36"/>
          <w:szCs w:val="36"/>
        </w:rPr>
      </w:pPr>
      <w:r w:rsidRPr="0009050A">
        <w:rPr>
          <w:rFonts w:ascii="Calibri" w:eastAsiaTheme="majorEastAsia" w:hAnsi="Calibri" w:cs="Calibri"/>
          <w:iCs/>
          <w:color w:val="000000" w:themeColor="text1"/>
          <w:spacing w:val="15"/>
          <w:sz w:val="36"/>
          <w:szCs w:val="36"/>
        </w:rPr>
        <w:t>2017-20</w:t>
      </w:r>
    </w:p>
    <w:p w14:paraId="6EABD6BC" w14:textId="77777777" w:rsidR="00E00C7F" w:rsidRDefault="00E00C7F" w:rsidP="007C48EE"/>
    <w:p w14:paraId="5159CD93" w14:textId="77777777" w:rsidR="006A7758" w:rsidRDefault="006A7758" w:rsidP="007C48EE"/>
    <w:p w14:paraId="7D30742A" w14:textId="77777777" w:rsidR="006A7758" w:rsidRDefault="006A7758" w:rsidP="007C48EE"/>
    <w:tbl>
      <w:tblPr>
        <w:tblStyle w:val="TableGrid"/>
        <w:tblW w:w="0" w:type="auto"/>
        <w:tblInd w:w="-176" w:type="dxa"/>
        <w:tblLook w:val="04A0" w:firstRow="1" w:lastRow="0" w:firstColumn="1" w:lastColumn="0" w:noHBand="0" w:noVBand="1"/>
      </w:tblPr>
      <w:tblGrid>
        <w:gridCol w:w="4395"/>
        <w:gridCol w:w="425"/>
        <w:gridCol w:w="4932"/>
      </w:tblGrid>
      <w:tr w:rsidR="006A7758" w:rsidRPr="00C3362F" w14:paraId="44B46B77" w14:textId="77777777" w:rsidTr="006A7758">
        <w:tc>
          <w:tcPr>
            <w:tcW w:w="4395" w:type="dxa"/>
            <w:tcBorders>
              <w:top w:val="nil"/>
              <w:left w:val="nil"/>
              <w:bottom w:val="single" w:sz="4" w:space="0" w:color="auto"/>
              <w:right w:val="nil"/>
            </w:tcBorders>
          </w:tcPr>
          <w:p w14:paraId="46E56173" w14:textId="77777777" w:rsidR="006A7758" w:rsidRPr="00C3362F" w:rsidRDefault="006A7758" w:rsidP="006A7758">
            <w:pPr>
              <w:rPr>
                <w:rFonts w:ascii="Calibri" w:hAnsi="Calibri" w:cs="Calibri"/>
                <w:sz w:val="22"/>
                <w:szCs w:val="22"/>
              </w:rPr>
            </w:pPr>
            <w:r w:rsidRPr="00C3362F">
              <w:rPr>
                <w:rFonts w:ascii="Calibri" w:hAnsi="Calibri" w:cs="Calibri"/>
                <w:sz w:val="22"/>
                <w:szCs w:val="22"/>
              </w:rPr>
              <w:t>SIGNED for and on behalf of the Ministry of Advanced Education and Skills Development by:</w:t>
            </w:r>
          </w:p>
          <w:p w14:paraId="68D84BB9" w14:textId="77777777" w:rsidR="006A7758" w:rsidRPr="00C3362F" w:rsidRDefault="006A7758" w:rsidP="006A7758">
            <w:pPr>
              <w:rPr>
                <w:rFonts w:ascii="Calibri" w:hAnsi="Calibri" w:cs="Calibri"/>
                <w:sz w:val="22"/>
                <w:szCs w:val="22"/>
              </w:rPr>
            </w:pPr>
          </w:p>
          <w:p w14:paraId="4CDDD4F8" w14:textId="77777777" w:rsidR="006A7758" w:rsidRPr="00C3362F" w:rsidRDefault="006A7758" w:rsidP="006A7758">
            <w:pPr>
              <w:rPr>
                <w:rFonts w:ascii="Calibri" w:hAnsi="Calibri" w:cs="Calibri"/>
                <w:sz w:val="22"/>
                <w:szCs w:val="22"/>
              </w:rPr>
            </w:pPr>
          </w:p>
          <w:p w14:paraId="754002FC" w14:textId="77777777" w:rsidR="006A7758" w:rsidRPr="00C3362F" w:rsidRDefault="006A7758" w:rsidP="006A7758">
            <w:pPr>
              <w:rPr>
                <w:rFonts w:ascii="Calibri" w:hAnsi="Calibri" w:cs="Calibri"/>
                <w:sz w:val="22"/>
                <w:szCs w:val="22"/>
              </w:rPr>
            </w:pPr>
          </w:p>
          <w:p w14:paraId="33BF7608" w14:textId="77777777" w:rsidR="006A7758" w:rsidRPr="00C3362F" w:rsidRDefault="006A7758" w:rsidP="006A7758">
            <w:pPr>
              <w:rPr>
                <w:rFonts w:ascii="Calibri" w:hAnsi="Calibri" w:cs="Calibri"/>
                <w:sz w:val="22"/>
                <w:szCs w:val="22"/>
              </w:rPr>
            </w:pPr>
          </w:p>
        </w:tc>
        <w:tc>
          <w:tcPr>
            <w:tcW w:w="425" w:type="dxa"/>
            <w:tcBorders>
              <w:top w:val="nil"/>
              <w:left w:val="nil"/>
              <w:bottom w:val="nil"/>
              <w:right w:val="nil"/>
            </w:tcBorders>
          </w:tcPr>
          <w:p w14:paraId="531FEDBE" w14:textId="77777777" w:rsidR="006A7758" w:rsidRPr="00C3362F" w:rsidRDefault="006A7758" w:rsidP="006A7758">
            <w:pPr>
              <w:rPr>
                <w:rFonts w:ascii="Calibri" w:hAnsi="Calibri" w:cs="Calibri"/>
                <w:sz w:val="22"/>
                <w:szCs w:val="22"/>
              </w:rPr>
            </w:pPr>
          </w:p>
        </w:tc>
        <w:tc>
          <w:tcPr>
            <w:tcW w:w="4932" w:type="dxa"/>
            <w:tcBorders>
              <w:top w:val="nil"/>
              <w:left w:val="nil"/>
              <w:bottom w:val="single" w:sz="4" w:space="0" w:color="auto"/>
              <w:right w:val="nil"/>
            </w:tcBorders>
          </w:tcPr>
          <w:p w14:paraId="0AF06DE4" w14:textId="77777777" w:rsidR="006A7758" w:rsidRPr="00C3362F" w:rsidRDefault="006A7758" w:rsidP="000D6F8A">
            <w:pPr>
              <w:rPr>
                <w:rFonts w:ascii="Calibri" w:hAnsi="Calibri" w:cs="Calibri"/>
                <w:sz w:val="22"/>
                <w:szCs w:val="22"/>
              </w:rPr>
            </w:pPr>
            <w:r>
              <w:rPr>
                <w:rFonts w:ascii="Calibri" w:hAnsi="Calibri" w:cs="Calibri"/>
                <w:sz w:val="22"/>
                <w:szCs w:val="22"/>
              </w:rPr>
              <w:t xml:space="preserve">SIGNED for and on behalf of </w:t>
            </w:r>
            <w:r w:rsidR="000D6F8A">
              <w:rPr>
                <w:rFonts w:ascii="Calibri" w:hAnsi="Calibri" w:cs="Calibri"/>
                <w:sz w:val="22"/>
                <w:szCs w:val="22"/>
              </w:rPr>
              <w:t>Trent University</w:t>
            </w:r>
            <w:r>
              <w:rPr>
                <w:rFonts w:ascii="Calibri" w:hAnsi="Calibri" w:cs="Calibri"/>
                <w:sz w:val="22"/>
                <w:szCs w:val="22"/>
              </w:rPr>
              <w:t xml:space="preserve"> </w:t>
            </w:r>
            <w:r w:rsidRPr="00C3362F">
              <w:rPr>
                <w:rFonts w:ascii="Calibri" w:hAnsi="Calibri" w:cs="Calibri"/>
                <w:sz w:val="22"/>
                <w:szCs w:val="22"/>
              </w:rPr>
              <w:t>by:</w:t>
            </w:r>
          </w:p>
        </w:tc>
      </w:tr>
      <w:tr w:rsidR="006A7758" w:rsidRPr="00C3362F" w14:paraId="49113876" w14:textId="77777777" w:rsidTr="006A7758">
        <w:trPr>
          <w:trHeight w:val="1014"/>
        </w:trPr>
        <w:tc>
          <w:tcPr>
            <w:tcW w:w="4395" w:type="dxa"/>
            <w:tcBorders>
              <w:top w:val="single" w:sz="4" w:space="0" w:color="auto"/>
              <w:left w:val="nil"/>
              <w:bottom w:val="single" w:sz="4" w:space="0" w:color="auto"/>
              <w:right w:val="nil"/>
            </w:tcBorders>
          </w:tcPr>
          <w:p w14:paraId="588B9171" w14:textId="77777777" w:rsidR="006A7758" w:rsidRPr="00C3362F" w:rsidRDefault="006A7758" w:rsidP="006A7758">
            <w:pPr>
              <w:rPr>
                <w:rFonts w:ascii="Calibri" w:hAnsi="Calibri" w:cs="Calibri"/>
                <w:sz w:val="22"/>
                <w:szCs w:val="22"/>
              </w:rPr>
            </w:pPr>
            <w:r w:rsidRPr="00C3362F">
              <w:rPr>
                <w:rFonts w:ascii="Calibri" w:hAnsi="Calibri" w:cs="Calibri"/>
                <w:sz w:val="22"/>
                <w:szCs w:val="22"/>
              </w:rPr>
              <w:t xml:space="preserve">Sheldon Levy </w:t>
            </w:r>
          </w:p>
          <w:p w14:paraId="7D577463" w14:textId="77777777" w:rsidR="006A7758" w:rsidRPr="00C3362F" w:rsidRDefault="006A7758" w:rsidP="006A7758">
            <w:pPr>
              <w:rPr>
                <w:rFonts w:ascii="Calibri" w:hAnsi="Calibri" w:cs="Calibri"/>
                <w:sz w:val="22"/>
                <w:szCs w:val="22"/>
              </w:rPr>
            </w:pPr>
            <w:r w:rsidRPr="00C3362F">
              <w:rPr>
                <w:rFonts w:ascii="Calibri" w:hAnsi="Calibri" w:cs="Calibri"/>
                <w:sz w:val="22"/>
                <w:szCs w:val="22"/>
              </w:rPr>
              <w:t>Deputy Minister</w:t>
            </w:r>
          </w:p>
          <w:p w14:paraId="1F190017" w14:textId="77777777" w:rsidR="006A7758" w:rsidRPr="00C3362F" w:rsidRDefault="006A7758" w:rsidP="006A7758">
            <w:pPr>
              <w:rPr>
                <w:rFonts w:ascii="Calibri" w:hAnsi="Calibri" w:cs="Calibri"/>
                <w:sz w:val="22"/>
                <w:szCs w:val="22"/>
              </w:rPr>
            </w:pPr>
          </w:p>
          <w:p w14:paraId="1D252B3A" w14:textId="77777777" w:rsidR="006A7758" w:rsidRPr="00C3362F" w:rsidRDefault="006A7758" w:rsidP="006A7758">
            <w:pPr>
              <w:rPr>
                <w:rFonts w:ascii="Calibri" w:hAnsi="Calibri" w:cs="Calibri"/>
                <w:sz w:val="22"/>
                <w:szCs w:val="22"/>
              </w:rPr>
            </w:pPr>
          </w:p>
        </w:tc>
        <w:tc>
          <w:tcPr>
            <w:tcW w:w="425" w:type="dxa"/>
            <w:tcBorders>
              <w:top w:val="nil"/>
              <w:left w:val="nil"/>
              <w:bottom w:val="nil"/>
              <w:right w:val="nil"/>
            </w:tcBorders>
          </w:tcPr>
          <w:p w14:paraId="35F824BD" w14:textId="77777777" w:rsidR="006A7758" w:rsidRPr="00C3362F" w:rsidRDefault="006A7758" w:rsidP="006A7758">
            <w:pPr>
              <w:rPr>
                <w:rFonts w:ascii="Calibri" w:hAnsi="Calibri" w:cs="Calibri"/>
                <w:sz w:val="22"/>
                <w:szCs w:val="22"/>
              </w:rPr>
            </w:pPr>
          </w:p>
        </w:tc>
        <w:tc>
          <w:tcPr>
            <w:tcW w:w="4932" w:type="dxa"/>
            <w:tcBorders>
              <w:top w:val="single" w:sz="4" w:space="0" w:color="auto"/>
              <w:left w:val="nil"/>
              <w:bottom w:val="single" w:sz="4" w:space="0" w:color="auto"/>
              <w:right w:val="nil"/>
            </w:tcBorders>
          </w:tcPr>
          <w:p w14:paraId="0BA64A3E" w14:textId="77777777" w:rsidR="006A7758" w:rsidRPr="00C3362F" w:rsidRDefault="000D6F8A" w:rsidP="006A7758">
            <w:pPr>
              <w:rPr>
                <w:rFonts w:ascii="Calibri" w:hAnsi="Calibri" w:cs="Calibri"/>
                <w:sz w:val="22"/>
                <w:szCs w:val="22"/>
              </w:rPr>
            </w:pPr>
            <w:r>
              <w:rPr>
                <w:rFonts w:ascii="Calibri" w:hAnsi="Calibri" w:cs="Calibri"/>
                <w:sz w:val="22"/>
                <w:szCs w:val="22"/>
              </w:rPr>
              <w:t>Leo Groarke</w:t>
            </w:r>
          </w:p>
          <w:p w14:paraId="057AEF5D" w14:textId="77777777" w:rsidR="006A7758" w:rsidRPr="00C3362F" w:rsidRDefault="006A7758" w:rsidP="006A7758">
            <w:pPr>
              <w:rPr>
                <w:rFonts w:ascii="Calibri" w:hAnsi="Calibri" w:cs="Calibri"/>
                <w:sz w:val="22"/>
                <w:szCs w:val="22"/>
              </w:rPr>
            </w:pPr>
            <w:r w:rsidRPr="00C3362F">
              <w:rPr>
                <w:rFonts w:ascii="Calibri" w:hAnsi="Calibri" w:cs="Calibri"/>
                <w:sz w:val="22"/>
                <w:szCs w:val="22"/>
              </w:rPr>
              <w:t>President</w:t>
            </w:r>
            <w:r w:rsidRPr="00C3362F">
              <w:rPr>
                <w:rFonts w:ascii="Calibri" w:hAnsi="Calibri" w:cs="Calibri"/>
                <w:sz w:val="22"/>
                <w:szCs w:val="22"/>
              </w:rPr>
              <w:tab/>
            </w:r>
          </w:p>
          <w:p w14:paraId="583D7729" w14:textId="77777777" w:rsidR="006A7758" w:rsidRPr="00C3362F" w:rsidRDefault="006A7758" w:rsidP="006A7758">
            <w:pPr>
              <w:rPr>
                <w:rFonts w:ascii="Calibri" w:hAnsi="Calibri" w:cs="Calibri"/>
                <w:sz w:val="22"/>
                <w:szCs w:val="22"/>
              </w:rPr>
            </w:pPr>
          </w:p>
        </w:tc>
      </w:tr>
      <w:tr w:rsidR="006A7758" w:rsidRPr="00C3362F" w14:paraId="7A70C7E8" w14:textId="77777777" w:rsidTr="006A7758">
        <w:tc>
          <w:tcPr>
            <w:tcW w:w="4395" w:type="dxa"/>
            <w:tcBorders>
              <w:top w:val="single" w:sz="4" w:space="0" w:color="auto"/>
              <w:left w:val="nil"/>
              <w:bottom w:val="nil"/>
              <w:right w:val="nil"/>
            </w:tcBorders>
          </w:tcPr>
          <w:p w14:paraId="34AFD52B" w14:textId="77777777" w:rsidR="006A7758" w:rsidRPr="00C3362F" w:rsidRDefault="006A7758" w:rsidP="006A7758">
            <w:pPr>
              <w:rPr>
                <w:rFonts w:ascii="Calibri" w:hAnsi="Calibri" w:cs="Calibri"/>
                <w:sz w:val="22"/>
                <w:szCs w:val="22"/>
              </w:rPr>
            </w:pPr>
            <w:r w:rsidRPr="00C3362F">
              <w:rPr>
                <w:rFonts w:ascii="Calibri" w:hAnsi="Calibri" w:cs="Calibri"/>
                <w:sz w:val="22"/>
                <w:szCs w:val="22"/>
              </w:rPr>
              <w:t>Date</w:t>
            </w:r>
          </w:p>
        </w:tc>
        <w:tc>
          <w:tcPr>
            <w:tcW w:w="425" w:type="dxa"/>
            <w:tcBorders>
              <w:top w:val="nil"/>
              <w:left w:val="nil"/>
              <w:bottom w:val="nil"/>
              <w:right w:val="nil"/>
            </w:tcBorders>
          </w:tcPr>
          <w:p w14:paraId="5891A557" w14:textId="77777777" w:rsidR="006A7758" w:rsidRPr="00C3362F" w:rsidRDefault="006A7758" w:rsidP="006A7758">
            <w:pPr>
              <w:rPr>
                <w:rFonts w:ascii="Calibri" w:hAnsi="Calibri" w:cs="Calibri"/>
                <w:sz w:val="22"/>
                <w:szCs w:val="22"/>
              </w:rPr>
            </w:pPr>
          </w:p>
        </w:tc>
        <w:tc>
          <w:tcPr>
            <w:tcW w:w="4932" w:type="dxa"/>
            <w:tcBorders>
              <w:top w:val="single" w:sz="4" w:space="0" w:color="auto"/>
              <w:left w:val="nil"/>
              <w:bottom w:val="nil"/>
              <w:right w:val="nil"/>
            </w:tcBorders>
          </w:tcPr>
          <w:p w14:paraId="6680E8D3" w14:textId="77777777" w:rsidR="006A7758" w:rsidRPr="00C3362F" w:rsidRDefault="006A7758" w:rsidP="006A7758">
            <w:pPr>
              <w:rPr>
                <w:rFonts w:ascii="Calibri" w:hAnsi="Calibri" w:cs="Calibri"/>
                <w:sz w:val="22"/>
                <w:szCs w:val="22"/>
              </w:rPr>
            </w:pPr>
            <w:r w:rsidRPr="00C3362F">
              <w:rPr>
                <w:rFonts w:ascii="Calibri" w:hAnsi="Calibri" w:cs="Calibri"/>
                <w:sz w:val="22"/>
                <w:szCs w:val="22"/>
              </w:rPr>
              <w:t>Date</w:t>
            </w:r>
          </w:p>
        </w:tc>
      </w:tr>
    </w:tbl>
    <w:p w14:paraId="53B206A4" w14:textId="77777777" w:rsidR="00E00C7F" w:rsidRDefault="00E00C7F" w:rsidP="007C48EE"/>
    <w:p w14:paraId="6FB5A90D" w14:textId="77777777" w:rsidR="00FD14E4" w:rsidRDefault="00FD14E4" w:rsidP="007C48EE"/>
    <w:p w14:paraId="27235202" w14:textId="14E53F08" w:rsidR="00E00C7F" w:rsidRDefault="00101282" w:rsidP="00592099">
      <w:pPr>
        <w:ind w:left="5760" w:firstLine="720"/>
      </w:pPr>
      <w:r>
        <w:rPr>
          <w:noProof/>
        </w:rPr>
        <w:drawing>
          <wp:anchor distT="0" distB="0" distL="114300" distR="114300" simplePos="0" relativeHeight="251666432" behindDoc="0" locked="0" layoutInCell="1" allowOverlap="1" wp14:anchorId="6F345030" wp14:editId="3DA7F1F5">
            <wp:simplePos x="0" y="0"/>
            <wp:positionH relativeFrom="column">
              <wp:posOffset>4584700</wp:posOffset>
            </wp:positionH>
            <wp:positionV relativeFrom="paragraph">
              <wp:posOffset>200025</wp:posOffset>
            </wp:positionV>
            <wp:extent cx="1397000" cy="423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CMYK.jpg"/>
                    <pic:cNvPicPr/>
                  </pic:nvPicPr>
                  <pic:blipFill>
                    <a:blip r:embed="rId11">
                      <a:extLst>
                        <a:ext uri="{28A0092B-C50C-407E-A947-70E740481C1C}">
                          <a14:useLocalDpi xmlns:a14="http://schemas.microsoft.com/office/drawing/2010/main" val="0"/>
                        </a:ext>
                      </a:extLst>
                    </a:blip>
                    <a:stretch>
                      <a:fillRect/>
                    </a:stretch>
                  </pic:blipFill>
                  <pic:spPr>
                    <a:xfrm>
                      <a:off x="0" y="0"/>
                      <a:ext cx="1397000" cy="423845"/>
                    </a:xfrm>
                    <a:prstGeom prst="rect">
                      <a:avLst/>
                    </a:prstGeom>
                  </pic:spPr>
                </pic:pic>
              </a:graphicData>
            </a:graphic>
            <wp14:sizeRelH relativeFrom="page">
              <wp14:pctWidth>0</wp14:pctWidth>
            </wp14:sizeRelH>
            <wp14:sizeRelV relativeFrom="page">
              <wp14:pctHeight>0</wp14:pctHeight>
            </wp14:sizeRelV>
          </wp:anchor>
        </w:drawing>
      </w:r>
      <w:r w:rsidR="00592099">
        <w:rPr>
          <w:noProof/>
        </w:rPr>
        <w:drawing>
          <wp:anchor distT="0" distB="0" distL="114300" distR="114300" simplePos="0" relativeHeight="251662336" behindDoc="0" locked="0" layoutInCell="1" allowOverlap="1" wp14:anchorId="463F8ADC" wp14:editId="39AFC93C">
            <wp:simplePos x="0" y="0"/>
            <wp:positionH relativeFrom="column">
              <wp:posOffset>-24765</wp:posOffset>
            </wp:positionH>
            <wp:positionV relativeFrom="paragraph">
              <wp:posOffset>-2540</wp:posOffset>
            </wp:positionV>
            <wp:extent cx="1470660" cy="731520"/>
            <wp:effectExtent l="0" t="0" r="0" b="0"/>
            <wp:wrapNone/>
            <wp:docPr id="5" name="Picture 5" descr="C:\Users\HodgsoEm\AppData\Local\Microsoft\Windows\Temporary Internet Files\Content.IE5\BGAC039W\Ontario_government_symb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dgsoEm\AppData\Local\Microsoft\Windows\Temporary Internet Files\Content.IE5\BGAC039W\Ontario_government_symbol[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066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DDAFD" w14:textId="77777777" w:rsidR="00E00C7F" w:rsidRDefault="00E00C7F" w:rsidP="007C48EE"/>
    <w:p w14:paraId="6EFA0B2F" w14:textId="77777777" w:rsidR="00101282" w:rsidRDefault="00101282" w:rsidP="00101282">
      <w:pPr>
        <w:pStyle w:val="Title"/>
        <w:pBdr>
          <w:bottom w:val="none" w:sz="0" w:space="0" w:color="auto"/>
        </w:pBdr>
      </w:pPr>
    </w:p>
    <w:p w14:paraId="5B96E198" w14:textId="77777777" w:rsidR="00BF1339" w:rsidRDefault="00BF1339" w:rsidP="00BF1339">
      <w:pPr>
        <w:pStyle w:val="Title"/>
      </w:pPr>
      <w:r>
        <w:lastRenderedPageBreak/>
        <w:t xml:space="preserve">Table of Contents </w:t>
      </w:r>
    </w:p>
    <w:p w14:paraId="46595B36" w14:textId="77777777" w:rsidR="00BF1339" w:rsidRPr="00624223" w:rsidRDefault="00BF1339" w:rsidP="00624223">
      <w:pPr>
        <w:spacing w:after="0" w:line="240" w:lineRule="auto"/>
        <w:rPr>
          <w:b/>
        </w:rPr>
      </w:pPr>
      <w:r w:rsidRPr="00624223">
        <w:rPr>
          <w:b/>
        </w:rPr>
        <w:t>Section 1</w:t>
      </w:r>
      <w:r>
        <w:rPr>
          <w:b/>
        </w:rPr>
        <w:t>:</w:t>
      </w:r>
      <w:r w:rsidRPr="00624223">
        <w:rPr>
          <w:b/>
        </w:rPr>
        <w:t xml:space="preserve"> Introduction</w:t>
      </w:r>
      <w:r>
        <w:t xml:space="preserve"> </w:t>
      </w:r>
    </w:p>
    <w:p w14:paraId="6D0CFC08" w14:textId="77777777" w:rsidR="00BF1339" w:rsidRDefault="00BF1339" w:rsidP="00624223">
      <w:pPr>
        <w:spacing w:after="0" w:line="240" w:lineRule="auto"/>
      </w:pPr>
      <w:r>
        <w:t xml:space="preserve">Preamble </w:t>
      </w:r>
    </w:p>
    <w:p w14:paraId="262DC1CF" w14:textId="77777777" w:rsidR="00BF1339" w:rsidRDefault="00BF1339" w:rsidP="00624223">
      <w:pPr>
        <w:spacing w:after="0" w:line="240" w:lineRule="auto"/>
      </w:pPr>
      <w:r>
        <w:t xml:space="preserve">Institutional Vision, Mission, Mandate </w:t>
      </w:r>
    </w:p>
    <w:p w14:paraId="4470E243" w14:textId="77777777" w:rsidR="00BF1339" w:rsidRDefault="00BF1339" w:rsidP="00624223">
      <w:pPr>
        <w:spacing w:after="0" w:line="240" w:lineRule="auto"/>
      </w:pPr>
      <w:r>
        <w:t xml:space="preserve">Aspirations </w:t>
      </w:r>
    </w:p>
    <w:p w14:paraId="39A509CB" w14:textId="77777777" w:rsidR="00BF1339" w:rsidRPr="00624223" w:rsidRDefault="00BF1339" w:rsidP="00624223">
      <w:pPr>
        <w:spacing w:after="0" w:line="240" w:lineRule="auto"/>
        <w:rPr>
          <w:b/>
        </w:rPr>
      </w:pPr>
    </w:p>
    <w:p w14:paraId="0B758857" w14:textId="77777777" w:rsidR="00BF1339" w:rsidRPr="00624223" w:rsidRDefault="00BF1339" w:rsidP="00624223">
      <w:pPr>
        <w:spacing w:after="0" w:line="240" w:lineRule="auto"/>
        <w:rPr>
          <w:b/>
        </w:rPr>
      </w:pPr>
      <w:r w:rsidRPr="00624223">
        <w:rPr>
          <w:b/>
        </w:rPr>
        <w:t xml:space="preserve">Section 2: Shared Objectives and Priorities for Differentiation </w:t>
      </w:r>
    </w:p>
    <w:p w14:paraId="36FC320B" w14:textId="77777777" w:rsidR="00BF1339" w:rsidRDefault="00BF1339" w:rsidP="00624223">
      <w:pPr>
        <w:spacing w:after="0" w:line="240" w:lineRule="auto"/>
      </w:pPr>
      <w:r>
        <w:t>1.0</w:t>
      </w:r>
      <w:r>
        <w:tab/>
        <w:t xml:space="preserve">Student Experience </w:t>
      </w:r>
    </w:p>
    <w:p w14:paraId="0418B1EE" w14:textId="77777777" w:rsidR="00BF1339" w:rsidRDefault="00BF1339" w:rsidP="00624223">
      <w:pPr>
        <w:spacing w:after="0" w:line="240" w:lineRule="auto"/>
      </w:pPr>
      <w:r>
        <w:t>2.0</w:t>
      </w:r>
      <w:r>
        <w:tab/>
        <w:t xml:space="preserve">Innovation in Teaching and Learning Excellence </w:t>
      </w:r>
    </w:p>
    <w:p w14:paraId="426EBA72" w14:textId="77777777" w:rsidR="00BF1339" w:rsidRDefault="00BF1339" w:rsidP="00624223">
      <w:pPr>
        <w:spacing w:after="0" w:line="240" w:lineRule="auto"/>
      </w:pPr>
      <w:r>
        <w:t>3.0</w:t>
      </w:r>
      <w:r>
        <w:tab/>
        <w:t xml:space="preserve">Access and Equity </w:t>
      </w:r>
    </w:p>
    <w:p w14:paraId="2CF39017" w14:textId="77777777" w:rsidR="00BF1339" w:rsidRDefault="00BF1339" w:rsidP="00624223">
      <w:pPr>
        <w:spacing w:after="0" w:line="240" w:lineRule="auto"/>
      </w:pPr>
      <w:r>
        <w:t>4.0</w:t>
      </w:r>
      <w:r>
        <w:tab/>
        <w:t xml:space="preserve">Applied Research and Excellence Impact </w:t>
      </w:r>
    </w:p>
    <w:p w14:paraId="16EB92AE" w14:textId="77777777" w:rsidR="00BF1339" w:rsidRDefault="00BF1339" w:rsidP="00624223">
      <w:pPr>
        <w:spacing w:after="0" w:line="240" w:lineRule="auto"/>
      </w:pPr>
      <w:r>
        <w:t>5.0</w:t>
      </w:r>
      <w:r>
        <w:tab/>
        <w:t xml:space="preserve">Innovation, Economic Development and Community Engagement </w:t>
      </w:r>
    </w:p>
    <w:p w14:paraId="6666EC42" w14:textId="77777777" w:rsidR="00BF1339" w:rsidRPr="00624223" w:rsidRDefault="00BF1339" w:rsidP="00624223">
      <w:pPr>
        <w:spacing w:after="0" w:line="240" w:lineRule="auto"/>
        <w:rPr>
          <w:b/>
        </w:rPr>
      </w:pPr>
    </w:p>
    <w:p w14:paraId="15829205" w14:textId="77777777" w:rsidR="00BF1339" w:rsidRPr="00624223" w:rsidRDefault="00BF1339" w:rsidP="00624223">
      <w:pPr>
        <w:spacing w:after="0" w:line="240" w:lineRule="auto"/>
        <w:rPr>
          <w:b/>
        </w:rPr>
      </w:pPr>
      <w:r w:rsidRPr="00624223">
        <w:rPr>
          <w:b/>
        </w:rPr>
        <w:t>Section 3: Strategy, Sustainability and Partnerships</w:t>
      </w:r>
    </w:p>
    <w:p w14:paraId="4D288ED3" w14:textId="77777777" w:rsidR="00BF1339" w:rsidRDefault="00123628" w:rsidP="00624223">
      <w:pPr>
        <w:spacing w:after="0" w:line="240" w:lineRule="auto"/>
      </w:pPr>
      <w:r>
        <w:t xml:space="preserve">6.0 </w:t>
      </w:r>
      <w:r w:rsidR="00BF1339">
        <w:t>Enrolment Strategy</w:t>
      </w:r>
      <w:r>
        <w:t xml:space="preserve"> &amp; Program Direction </w:t>
      </w:r>
      <w:r w:rsidR="00BF1339">
        <w:t xml:space="preserve"> </w:t>
      </w:r>
    </w:p>
    <w:p w14:paraId="27FC19A8" w14:textId="77777777" w:rsidR="00BF1339" w:rsidRDefault="00BF1339" w:rsidP="00ED423E">
      <w:pPr>
        <w:pStyle w:val="ListParagraph"/>
        <w:numPr>
          <w:ilvl w:val="0"/>
          <w:numId w:val="20"/>
        </w:numPr>
        <w:spacing w:after="0" w:line="240" w:lineRule="auto"/>
      </w:pPr>
      <w:r>
        <w:t xml:space="preserve">International Strategy </w:t>
      </w:r>
    </w:p>
    <w:p w14:paraId="0D71162E" w14:textId="77777777" w:rsidR="00BF1339" w:rsidRDefault="00BF1339" w:rsidP="00ED423E">
      <w:pPr>
        <w:pStyle w:val="ListParagraph"/>
        <w:numPr>
          <w:ilvl w:val="0"/>
          <w:numId w:val="20"/>
        </w:numPr>
        <w:spacing w:after="0" w:line="240" w:lineRule="auto"/>
      </w:pPr>
      <w:r>
        <w:t xml:space="preserve">Strategic Areas of Program Strength and Expansion </w:t>
      </w:r>
    </w:p>
    <w:p w14:paraId="466C9583" w14:textId="77777777" w:rsidR="00BF1339" w:rsidRDefault="00BF1339" w:rsidP="00ED423E">
      <w:pPr>
        <w:pStyle w:val="ListParagraph"/>
        <w:numPr>
          <w:ilvl w:val="0"/>
          <w:numId w:val="20"/>
        </w:numPr>
        <w:spacing w:after="0" w:line="240" w:lineRule="auto"/>
      </w:pPr>
      <w:r>
        <w:t xml:space="preserve">Financial </w:t>
      </w:r>
      <w:r w:rsidR="00123628">
        <w:t>Sustainability</w:t>
      </w:r>
      <w:r>
        <w:t xml:space="preserve"> </w:t>
      </w:r>
    </w:p>
    <w:p w14:paraId="4EB0A246" w14:textId="77777777" w:rsidR="00BF1339" w:rsidRDefault="00123628" w:rsidP="00624223">
      <w:pPr>
        <w:spacing w:after="0" w:line="240" w:lineRule="auto"/>
      </w:pPr>
      <w:r>
        <w:t xml:space="preserve">7.0 </w:t>
      </w:r>
      <w:r w:rsidR="00BF1339">
        <w:t xml:space="preserve">Institutional Collaborations and Partnerships </w:t>
      </w:r>
    </w:p>
    <w:p w14:paraId="694E2F8B" w14:textId="77777777" w:rsidR="00123628" w:rsidRPr="00624223" w:rsidRDefault="00123628" w:rsidP="00624223">
      <w:pPr>
        <w:spacing w:after="0" w:line="240" w:lineRule="auto"/>
        <w:rPr>
          <w:b/>
        </w:rPr>
      </w:pPr>
    </w:p>
    <w:p w14:paraId="7782D8B6" w14:textId="77777777" w:rsidR="00BF1339" w:rsidRPr="00624223" w:rsidRDefault="00123628" w:rsidP="00624223">
      <w:pPr>
        <w:spacing w:after="0" w:line="240" w:lineRule="auto"/>
        <w:rPr>
          <w:b/>
        </w:rPr>
      </w:pPr>
      <w:r w:rsidRPr="00624223">
        <w:rPr>
          <w:b/>
        </w:rPr>
        <w:t xml:space="preserve">Section 4: </w:t>
      </w:r>
      <w:r w:rsidR="00BF1339" w:rsidRPr="00624223">
        <w:rPr>
          <w:b/>
        </w:rPr>
        <w:t xml:space="preserve">Ministry Commitments </w:t>
      </w:r>
    </w:p>
    <w:p w14:paraId="71C0A990" w14:textId="77777777" w:rsidR="006A7758" w:rsidRDefault="006A7758" w:rsidP="006A7758">
      <w:pPr>
        <w:pStyle w:val="Title"/>
      </w:pPr>
    </w:p>
    <w:p w14:paraId="0735E570" w14:textId="77777777" w:rsidR="006A7758" w:rsidRDefault="006A7758" w:rsidP="006A7758">
      <w:pPr>
        <w:pStyle w:val="Title"/>
      </w:pPr>
    </w:p>
    <w:p w14:paraId="39AFB15C" w14:textId="77777777" w:rsidR="006A7758" w:rsidRDefault="006A7758" w:rsidP="006A7758">
      <w:pPr>
        <w:pStyle w:val="Title"/>
      </w:pPr>
    </w:p>
    <w:p w14:paraId="2433EEB0" w14:textId="77777777" w:rsidR="006A7758" w:rsidRDefault="006A7758" w:rsidP="006A7758">
      <w:pPr>
        <w:pStyle w:val="Title"/>
      </w:pPr>
    </w:p>
    <w:p w14:paraId="7758AEB9" w14:textId="77777777" w:rsidR="006A7758" w:rsidRDefault="006A7758" w:rsidP="006A7758">
      <w:pPr>
        <w:pStyle w:val="Title"/>
      </w:pPr>
    </w:p>
    <w:p w14:paraId="2033F8C7" w14:textId="77777777" w:rsidR="006A7758" w:rsidRDefault="006A7758" w:rsidP="006A7758">
      <w:pPr>
        <w:pStyle w:val="Title"/>
      </w:pPr>
    </w:p>
    <w:p w14:paraId="04DBB0A8" w14:textId="77777777" w:rsidR="006A7758" w:rsidRDefault="006A7758" w:rsidP="006A7758">
      <w:pPr>
        <w:pStyle w:val="Title"/>
      </w:pPr>
    </w:p>
    <w:p w14:paraId="7B14BFA5" w14:textId="77777777" w:rsidR="006A7758" w:rsidRDefault="006A7758" w:rsidP="006A7758">
      <w:pPr>
        <w:pStyle w:val="Title"/>
      </w:pPr>
    </w:p>
    <w:p w14:paraId="660919FF" w14:textId="77777777" w:rsidR="006A7758" w:rsidRDefault="006A7758" w:rsidP="006A7758">
      <w:pPr>
        <w:pStyle w:val="Title"/>
      </w:pPr>
    </w:p>
    <w:p w14:paraId="06372BA0" w14:textId="77777777" w:rsidR="006A7758" w:rsidRDefault="006A7758" w:rsidP="006A7758">
      <w:pPr>
        <w:pStyle w:val="Title"/>
      </w:pPr>
    </w:p>
    <w:p w14:paraId="0D914064" w14:textId="77777777" w:rsidR="00BF1339" w:rsidRDefault="00BF1339" w:rsidP="006A7758">
      <w:pPr>
        <w:pStyle w:val="Title"/>
      </w:pPr>
    </w:p>
    <w:p w14:paraId="185FF6B3" w14:textId="77777777" w:rsidR="006A7758" w:rsidRPr="00FE5CF0" w:rsidRDefault="006A7758" w:rsidP="006A7758">
      <w:pPr>
        <w:pStyle w:val="Title"/>
      </w:pPr>
      <w:r w:rsidRPr="00AD670F">
        <w:lastRenderedPageBreak/>
        <w:t>P</w:t>
      </w:r>
      <w:r>
        <w:t>reamble</w:t>
      </w:r>
    </w:p>
    <w:p w14:paraId="3487F79C" w14:textId="77777777" w:rsidR="006A7758" w:rsidRPr="00DF591E" w:rsidRDefault="006A7758" w:rsidP="006A7758">
      <w:r w:rsidRPr="00DF591E">
        <w:t xml:space="preserve">This Strategic Mandate Agreement between the Ministry of Advanced Education and Skills Development and </w:t>
      </w:r>
      <w:r w:rsidR="000D6F8A">
        <w:t>Trent University</w:t>
      </w:r>
      <w:r w:rsidRPr="00DF591E">
        <w:t xml:space="preserve"> outlines the role the University currently performs in Ontario’s postsecondary education system and how it will build on its current strengths to achieve its vision and help drive system-wide objectives and government priorities.</w:t>
      </w:r>
    </w:p>
    <w:p w14:paraId="5F32F98E" w14:textId="77777777" w:rsidR="006A7758" w:rsidRPr="00DF591E" w:rsidRDefault="006A7758" w:rsidP="006A7758">
      <w:r w:rsidRPr="00DF591E">
        <w:t>The Strategic Mandate Agreement (SMA): </w:t>
      </w:r>
    </w:p>
    <w:p w14:paraId="419CAD47" w14:textId="77777777" w:rsidR="006A7758" w:rsidRPr="00DF591E" w:rsidRDefault="006A7758" w:rsidP="00ED423E">
      <w:pPr>
        <w:pStyle w:val="ListParagraph"/>
        <w:numPr>
          <w:ilvl w:val="0"/>
          <w:numId w:val="7"/>
        </w:numPr>
      </w:pPr>
      <w:r w:rsidRPr="00DF591E">
        <w:t>Identifies and explains the shared objectives and priorities between the Ontario government and the University;</w:t>
      </w:r>
    </w:p>
    <w:p w14:paraId="32B05DD4" w14:textId="77777777" w:rsidR="006A7758" w:rsidRPr="00DF591E" w:rsidRDefault="006A7758" w:rsidP="00ED423E">
      <w:pPr>
        <w:pStyle w:val="ListParagraph"/>
        <w:numPr>
          <w:ilvl w:val="0"/>
          <w:numId w:val="7"/>
        </w:numPr>
      </w:pPr>
      <w:r w:rsidRPr="00DF591E">
        <w:t>Outlines current and future areas of program strength;</w:t>
      </w:r>
    </w:p>
    <w:p w14:paraId="330C4A1C" w14:textId="77777777" w:rsidR="006A7758" w:rsidRPr="00DF591E" w:rsidRDefault="006A7758" w:rsidP="00ED423E">
      <w:pPr>
        <w:pStyle w:val="ListParagraph"/>
        <w:numPr>
          <w:ilvl w:val="0"/>
          <w:numId w:val="7"/>
        </w:numPr>
      </w:pPr>
      <w:r w:rsidRPr="00DF591E">
        <w:t>Supports the current vision, mission, and mandate of the University and established areas of strength within the context of the University’s governing legislation;</w:t>
      </w:r>
    </w:p>
    <w:p w14:paraId="7983E192" w14:textId="77777777" w:rsidR="006A7758" w:rsidRPr="00DF591E" w:rsidRDefault="006A7758" w:rsidP="00ED423E">
      <w:pPr>
        <w:pStyle w:val="ListParagraph"/>
        <w:numPr>
          <w:ilvl w:val="0"/>
          <w:numId w:val="7"/>
        </w:numPr>
      </w:pPr>
      <w:r w:rsidRPr="00DF591E">
        <w:t>Describes the agreed-upon elements of the new university funding model, including:</w:t>
      </w:r>
    </w:p>
    <w:p w14:paraId="5371903B" w14:textId="77777777" w:rsidR="006A7758" w:rsidRPr="00DF591E" w:rsidRDefault="006A7758" w:rsidP="00ED423E">
      <w:pPr>
        <w:pStyle w:val="ListParagraph"/>
        <w:numPr>
          <w:ilvl w:val="1"/>
          <w:numId w:val="7"/>
        </w:numPr>
      </w:pPr>
      <w:r w:rsidRPr="00DF591E">
        <w:t>a University’s enrolment plans as well as their projections of their enrolments relative to their corridor midpoint and any desired changes to their corridor during the period of this SMA; and</w:t>
      </w:r>
    </w:p>
    <w:p w14:paraId="46B6FA61" w14:textId="77777777" w:rsidR="006A7758" w:rsidRPr="00DF591E" w:rsidRDefault="006A7758" w:rsidP="00ED423E">
      <w:pPr>
        <w:pStyle w:val="ListParagraph"/>
        <w:numPr>
          <w:ilvl w:val="1"/>
          <w:numId w:val="7"/>
        </w:numPr>
      </w:pPr>
      <w:r w:rsidRPr="00DF591E">
        <w:t>differentiation areas of focus including metrics</w:t>
      </w:r>
      <w:r>
        <w:t xml:space="preserve"> and </w:t>
      </w:r>
      <w:r w:rsidRPr="00DF591E">
        <w:t>targets.</w:t>
      </w:r>
    </w:p>
    <w:p w14:paraId="74B037FF" w14:textId="77777777" w:rsidR="006A7758" w:rsidRPr="00DF591E" w:rsidRDefault="006A7758" w:rsidP="00ED423E">
      <w:pPr>
        <w:pStyle w:val="ListParagraph"/>
        <w:numPr>
          <w:ilvl w:val="0"/>
          <w:numId w:val="7"/>
        </w:numPr>
      </w:pPr>
      <w:r w:rsidRPr="00DF591E">
        <w:t xml:space="preserve">Provides information on the financial sustainability of the institution; and  </w:t>
      </w:r>
    </w:p>
    <w:p w14:paraId="27612CE5" w14:textId="77777777" w:rsidR="006A7758" w:rsidRPr="00DF591E" w:rsidRDefault="006A7758" w:rsidP="00ED423E">
      <w:pPr>
        <w:pStyle w:val="ListParagraph"/>
        <w:numPr>
          <w:ilvl w:val="0"/>
          <w:numId w:val="7"/>
        </w:numPr>
      </w:pPr>
      <w:r w:rsidRPr="00DF591E">
        <w:t xml:space="preserve">Informs Ministry decision-making and enables </w:t>
      </w:r>
      <w:r>
        <w:t xml:space="preserve">the </w:t>
      </w:r>
      <w:r w:rsidRPr="00DF591E">
        <w:t>Ministry to align its policies and processes to further support the University’s areas of strength.</w:t>
      </w:r>
    </w:p>
    <w:p w14:paraId="56041F63" w14:textId="77777777" w:rsidR="006A7758" w:rsidRPr="00DF591E" w:rsidRDefault="006A7758" w:rsidP="006A7758">
      <w:r w:rsidRPr="00DF591E">
        <w:rPr>
          <w:color w:val="000000"/>
        </w:rPr>
        <w:t xml:space="preserve">The term of the SMA is from April 1, </w:t>
      </w:r>
      <w:r w:rsidRPr="00DF591E">
        <w:t xml:space="preserve">2017 to March 31, 2020. </w:t>
      </w:r>
    </w:p>
    <w:p w14:paraId="7734FCC4" w14:textId="77777777" w:rsidR="006A7758" w:rsidRPr="00DF591E" w:rsidRDefault="006A7758" w:rsidP="006A7758">
      <w:r w:rsidRPr="00DF591E">
        <w:t>The agreement may be amended in the event of substantive policy or program changes that would significantly affect joint commitments made in the SMA (e.g. Major Capacity Expansion, Highly Skilled Workforce, etc.).  Any such amendment would be mutually agreed to in writing, dated, and signed by both signatories.</w:t>
      </w:r>
    </w:p>
    <w:p w14:paraId="46D1E94F" w14:textId="77777777" w:rsidR="006A7758" w:rsidRDefault="006A7758" w:rsidP="006A7758"/>
    <w:p w14:paraId="7DF04A25" w14:textId="77777777" w:rsidR="006A7758" w:rsidRPr="00C37879" w:rsidRDefault="006A7758" w:rsidP="006A7758">
      <w:pPr>
        <w:rPr>
          <w:rFonts w:ascii="Arial" w:hAnsi="Arial" w:cs="Arial"/>
          <w:b/>
          <w:i/>
        </w:rPr>
      </w:pPr>
    </w:p>
    <w:p w14:paraId="06597477" w14:textId="77777777" w:rsidR="00EC788B" w:rsidRDefault="00EC788B">
      <w:pPr>
        <w:rPr>
          <w:i/>
        </w:rPr>
      </w:pPr>
    </w:p>
    <w:p w14:paraId="30D5B8FF" w14:textId="77777777" w:rsidR="006A7758" w:rsidRDefault="006A7758">
      <w:pPr>
        <w:rPr>
          <w:i/>
        </w:rPr>
      </w:pPr>
    </w:p>
    <w:p w14:paraId="1226D838" w14:textId="77777777" w:rsidR="006A7758" w:rsidRDefault="006A7758">
      <w:pPr>
        <w:rPr>
          <w:i/>
        </w:rPr>
      </w:pPr>
    </w:p>
    <w:p w14:paraId="77419E0E" w14:textId="77777777" w:rsidR="006A7758" w:rsidRDefault="006A7758">
      <w:pPr>
        <w:rPr>
          <w:i/>
        </w:rPr>
      </w:pPr>
    </w:p>
    <w:p w14:paraId="2B596464" w14:textId="77777777" w:rsidR="006A7758" w:rsidRDefault="006A7758">
      <w:pPr>
        <w:rPr>
          <w:i/>
        </w:rPr>
      </w:pPr>
    </w:p>
    <w:p w14:paraId="1F6D19FC" w14:textId="77777777" w:rsidR="006A7758" w:rsidRDefault="006A7758">
      <w:pPr>
        <w:rPr>
          <w:i/>
        </w:rPr>
      </w:pPr>
    </w:p>
    <w:p w14:paraId="378AA13A" w14:textId="77777777" w:rsidR="00886B28" w:rsidRDefault="00886B28" w:rsidP="00624223">
      <w:pPr>
        <w:pStyle w:val="Title"/>
        <w:rPr>
          <w:i/>
        </w:rPr>
      </w:pPr>
      <w:r w:rsidRPr="009A631B">
        <w:lastRenderedPageBreak/>
        <w:t>Ontario’s Vision for Postsecondary Education</w:t>
      </w:r>
      <w:r w:rsidRPr="00EC788B">
        <w:rPr>
          <w:i/>
        </w:rPr>
        <w:t xml:space="preserve"> </w:t>
      </w:r>
    </w:p>
    <w:p w14:paraId="5C580F40" w14:textId="77777777" w:rsidR="00747573" w:rsidRPr="00376D2A" w:rsidRDefault="00747573" w:rsidP="007C48EE">
      <w:pPr>
        <w:rPr>
          <w:b/>
        </w:rPr>
      </w:pPr>
      <w:r w:rsidRPr="00376D2A">
        <w:t xml:space="preserve">Ontario’s colleges and universities will drive creativity, innovation, knowledge, skills development and community engagement through teaching and learning, research, and service. </w:t>
      </w:r>
    </w:p>
    <w:p w14:paraId="394DFAA5" w14:textId="77777777" w:rsidR="00747573" w:rsidRPr="00376D2A" w:rsidRDefault="00747573" w:rsidP="007C48EE">
      <w:pPr>
        <w:rPr>
          <w:b/>
        </w:rPr>
      </w:pPr>
      <w:r w:rsidRPr="00376D2A">
        <w:t>Ontario’s colleges and universities will put students first by providing the best possible learning experience for all qualified learners in an affordable and financially sustainable way, ensuring high quality and globally competitive outcomes for students and Ontario’s economy.</w:t>
      </w:r>
    </w:p>
    <w:p w14:paraId="7F955119" w14:textId="77777777" w:rsidR="00AB06AC" w:rsidRDefault="000D6F8A" w:rsidP="007C48EE">
      <w:pPr>
        <w:pStyle w:val="Title"/>
      </w:pPr>
      <w:r>
        <w:t>Trent University</w:t>
      </w:r>
      <w:r w:rsidR="00AB06AC" w:rsidRPr="005B7988">
        <w:t xml:space="preserve"> V</w:t>
      </w:r>
      <w:r w:rsidR="007C48EE">
        <w:t>ision, Mission</w:t>
      </w:r>
      <w:r w:rsidR="00AB06AC">
        <w:t xml:space="preserve"> </w:t>
      </w:r>
      <w:r w:rsidR="007C48EE">
        <w:t>and</w:t>
      </w:r>
      <w:r w:rsidR="00AB06AC">
        <w:t xml:space="preserve"> </w:t>
      </w:r>
      <w:r w:rsidR="00AB06AC" w:rsidRPr="005B7988">
        <w:t>M</w:t>
      </w:r>
      <w:r w:rsidR="007C48EE">
        <w:t>andate</w:t>
      </w:r>
    </w:p>
    <w:p w14:paraId="1E551F06" w14:textId="77777777" w:rsidR="000D6F8A" w:rsidRPr="0039632B" w:rsidRDefault="00FA73E3" w:rsidP="000D6F8A">
      <w:pPr>
        <w:shd w:val="clear" w:color="auto" w:fill="FFFFFF"/>
        <w:spacing w:before="100" w:beforeAutospacing="1" w:after="100" w:afterAutospacing="1" w:line="240" w:lineRule="auto"/>
        <w:outlineLvl w:val="2"/>
        <w:rPr>
          <w:rFonts w:ascii="Calibri" w:eastAsia="Times New Roman" w:hAnsi="Calibri" w:cs="Calibri"/>
          <w:b/>
          <w:bCs/>
          <w:lang w:val="en-CA" w:eastAsia="en-CA"/>
        </w:rPr>
      </w:pPr>
      <w:r>
        <w:rPr>
          <w:rFonts w:ascii="Calibri" w:eastAsia="Times New Roman" w:hAnsi="Calibri" w:cs="Calibri"/>
          <w:b/>
          <w:bCs/>
          <w:lang w:val="en-CA" w:eastAsia="en-CA"/>
        </w:rPr>
        <w:t xml:space="preserve"> </w:t>
      </w:r>
      <w:r w:rsidR="000D6F8A" w:rsidRPr="0039632B">
        <w:rPr>
          <w:rFonts w:ascii="Calibri" w:eastAsia="Times New Roman" w:hAnsi="Calibri" w:cs="Calibri"/>
          <w:b/>
          <w:bCs/>
          <w:lang w:val="en-CA" w:eastAsia="en-CA"/>
        </w:rPr>
        <w:t>Vision</w:t>
      </w:r>
    </w:p>
    <w:p w14:paraId="4293F53B" w14:textId="77777777" w:rsidR="000D6F8A" w:rsidRPr="0039632B" w:rsidRDefault="000D6F8A" w:rsidP="000D6F8A">
      <w:pPr>
        <w:numPr>
          <w:ilvl w:val="0"/>
          <w:numId w:val="32"/>
        </w:numPr>
        <w:shd w:val="clear" w:color="auto" w:fill="FFFFFF"/>
        <w:spacing w:before="100" w:beforeAutospacing="1" w:after="100" w:afterAutospacing="1" w:line="240" w:lineRule="auto"/>
        <w:rPr>
          <w:rFonts w:ascii="Calibri" w:eastAsia="Times New Roman" w:hAnsi="Calibri" w:cs="Calibri"/>
          <w:lang w:val="en-CA" w:eastAsia="en-CA"/>
        </w:rPr>
      </w:pPr>
      <w:r w:rsidRPr="0039632B">
        <w:rPr>
          <w:rFonts w:ascii="Calibri" w:eastAsia="Times New Roman" w:hAnsi="Calibri" w:cs="Calibri"/>
          <w:lang w:val="en-CA" w:eastAsia="en-CA"/>
        </w:rPr>
        <w:t>We create vibrant, engaged and sustainable communities of learning, teaching and research committed to free enquiry and expression.</w:t>
      </w:r>
    </w:p>
    <w:p w14:paraId="4133C049" w14:textId="77777777" w:rsidR="000D6F8A" w:rsidRPr="0039632B" w:rsidRDefault="000D6F8A" w:rsidP="000D6F8A">
      <w:pPr>
        <w:numPr>
          <w:ilvl w:val="0"/>
          <w:numId w:val="32"/>
        </w:numPr>
        <w:shd w:val="clear" w:color="auto" w:fill="FFFFFF"/>
        <w:spacing w:before="100" w:beforeAutospacing="1" w:after="100" w:afterAutospacing="1" w:line="240" w:lineRule="auto"/>
        <w:rPr>
          <w:rFonts w:ascii="Calibri" w:eastAsia="Times New Roman" w:hAnsi="Calibri" w:cs="Calibri"/>
          <w:lang w:val="en-CA" w:eastAsia="en-CA"/>
        </w:rPr>
      </w:pPr>
      <w:r w:rsidRPr="0039632B">
        <w:rPr>
          <w:rFonts w:ascii="Calibri" w:eastAsia="Times New Roman" w:hAnsi="Calibri" w:cs="Calibri"/>
          <w:lang w:val="en-CA" w:eastAsia="en-CA"/>
        </w:rPr>
        <w:t>We encourage the dynamic interplay of research, teaching and learning, which enhance and energize each other in the classroom and beyond.</w:t>
      </w:r>
    </w:p>
    <w:p w14:paraId="796480EA" w14:textId="77777777" w:rsidR="000D6F8A" w:rsidRPr="0039632B" w:rsidRDefault="000D6F8A" w:rsidP="000D6F8A">
      <w:pPr>
        <w:numPr>
          <w:ilvl w:val="0"/>
          <w:numId w:val="32"/>
        </w:numPr>
        <w:shd w:val="clear" w:color="auto" w:fill="FFFFFF"/>
        <w:spacing w:before="100" w:beforeAutospacing="1" w:after="100" w:afterAutospacing="1" w:line="240" w:lineRule="auto"/>
        <w:rPr>
          <w:rFonts w:ascii="Calibri" w:eastAsia="Times New Roman" w:hAnsi="Calibri" w:cs="Calibri"/>
          <w:lang w:val="en-CA" w:eastAsia="en-CA"/>
        </w:rPr>
      </w:pPr>
      <w:r w:rsidRPr="0039632B">
        <w:rPr>
          <w:rFonts w:ascii="Calibri" w:eastAsia="Times New Roman" w:hAnsi="Calibri" w:cs="Calibri"/>
          <w:lang w:val="en-CA" w:eastAsia="en-CA"/>
        </w:rPr>
        <w:t>We strive to make valued and socially responsible contributions to our local communities, to Canada, and to the world.</w:t>
      </w:r>
    </w:p>
    <w:p w14:paraId="1FB28D64" w14:textId="77777777" w:rsidR="000D6F8A" w:rsidRPr="0039632B" w:rsidRDefault="000D6F8A" w:rsidP="000D6F8A">
      <w:pPr>
        <w:numPr>
          <w:ilvl w:val="0"/>
          <w:numId w:val="32"/>
        </w:numPr>
        <w:shd w:val="clear" w:color="auto" w:fill="FFFFFF"/>
        <w:spacing w:before="100" w:beforeAutospacing="1" w:after="100" w:afterAutospacing="1" w:line="240" w:lineRule="auto"/>
        <w:rPr>
          <w:rFonts w:ascii="Calibri" w:eastAsia="Times New Roman" w:hAnsi="Calibri" w:cs="Calibri"/>
          <w:lang w:val="en-CA" w:eastAsia="en-CA"/>
        </w:rPr>
      </w:pPr>
      <w:r w:rsidRPr="0039632B">
        <w:rPr>
          <w:rFonts w:ascii="Calibri" w:eastAsia="Times New Roman" w:hAnsi="Calibri" w:cs="Calibri"/>
          <w:lang w:val="en-CA" w:eastAsia="en-CA"/>
        </w:rPr>
        <w:t>We support a diversity of faculty, staff and students who share a commitment to the learning experience and are responsive to its challenges.</w:t>
      </w:r>
    </w:p>
    <w:p w14:paraId="1FE6FCE3" w14:textId="77777777" w:rsidR="000D6F8A" w:rsidRPr="0039632B" w:rsidRDefault="000D6F8A" w:rsidP="000D6F8A">
      <w:pPr>
        <w:numPr>
          <w:ilvl w:val="0"/>
          <w:numId w:val="32"/>
        </w:numPr>
        <w:shd w:val="clear" w:color="auto" w:fill="FFFFFF"/>
        <w:spacing w:before="100" w:beforeAutospacing="1" w:after="100" w:afterAutospacing="1" w:line="240" w:lineRule="auto"/>
        <w:rPr>
          <w:rFonts w:ascii="Calibri" w:eastAsia="Times New Roman" w:hAnsi="Calibri" w:cs="Calibri"/>
          <w:lang w:val="en-CA" w:eastAsia="en-CA"/>
        </w:rPr>
      </w:pPr>
      <w:r w:rsidRPr="0039632B">
        <w:rPr>
          <w:rFonts w:ascii="Calibri" w:eastAsia="Times New Roman" w:hAnsi="Calibri" w:cs="Calibri"/>
          <w:lang w:val="en-CA" w:eastAsia="en-CA"/>
        </w:rPr>
        <w:t xml:space="preserve">We foster an environment where Indigenous knowledge </w:t>
      </w:r>
      <w:r>
        <w:rPr>
          <w:rFonts w:ascii="Calibri" w:eastAsia="Times New Roman" w:hAnsi="Calibri" w:cs="Calibri"/>
          <w:lang w:val="en-CA" w:eastAsia="en-CA"/>
        </w:rPr>
        <w:t>is</w:t>
      </w:r>
      <w:r w:rsidRPr="0039632B">
        <w:rPr>
          <w:rFonts w:ascii="Calibri" w:eastAsia="Times New Roman" w:hAnsi="Calibri" w:cs="Calibri"/>
          <w:lang w:val="en-CA" w:eastAsia="en-CA"/>
        </w:rPr>
        <w:t xml:space="preserve"> respected and recognized as a valid means by which to understand the world.</w:t>
      </w:r>
    </w:p>
    <w:p w14:paraId="7B8055D8" w14:textId="77777777" w:rsidR="000D6F8A" w:rsidRPr="0039632B" w:rsidRDefault="000D6F8A" w:rsidP="000D6F8A">
      <w:pPr>
        <w:numPr>
          <w:ilvl w:val="0"/>
          <w:numId w:val="32"/>
        </w:numPr>
        <w:shd w:val="clear" w:color="auto" w:fill="FFFFFF"/>
        <w:spacing w:before="100" w:beforeAutospacing="1" w:after="100" w:afterAutospacing="1" w:line="240" w:lineRule="auto"/>
        <w:rPr>
          <w:rFonts w:ascii="Calibri" w:eastAsia="Times New Roman" w:hAnsi="Calibri" w:cs="Calibri"/>
          <w:lang w:val="en-CA" w:eastAsia="en-CA"/>
        </w:rPr>
      </w:pPr>
      <w:r w:rsidRPr="0039632B">
        <w:rPr>
          <w:rFonts w:ascii="Calibri" w:eastAsia="Times New Roman" w:hAnsi="Calibri" w:cs="Calibri"/>
          <w:lang w:val="en-CA" w:eastAsia="en-CA"/>
        </w:rPr>
        <w:t>We offer an enriched learning environment that encourages a passion for all knowledge, the exploration of the creative links between fields of study and a critical engagement with the world.</w:t>
      </w:r>
    </w:p>
    <w:p w14:paraId="056A4751" w14:textId="77777777" w:rsidR="000D6F8A" w:rsidRPr="0039632B" w:rsidRDefault="000D6F8A" w:rsidP="000D6F8A">
      <w:pPr>
        <w:numPr>
          <w:ilvl w:val="0"/>
          <w:numId w:val="32"/>
        </w:numPr>
        <w:shd w:val="clear" w:color="auto" w:fill="FFFFFF"/>
        <w:spacing w:before="100" w:beforeAutospacing="1" w:after="100" w:afterAutospacing="1" w:line="240" w:lineRule="auto"/>
        <w:rPr>
          <w:rFonts w:ascii="Calibri" w:eastAsia="Times New Roman" w:hAnsi="Calibri" w:cs="Calibri"/>
          <w:lang w:val="en-CA" w:eastAsia="en-CA"/>
        </w:rPr>
      </w:pPr>
      <w:r w:rsidRPr="0039632B">
        <w:rPr>
          <w:rFonts w:ascii="Calibri" w:eastAsia="Times New Roman" w:hAnsi="Calibri" w:cs="Calibri"/>
          <w:lang w:val="en-CA" w:eastAsia="en-CA"/>
        </w:rPr>
        <w:t>We create opportunities for students, staff and faculty to flourish and develop as individuals and as global citizens.</w:t>
      </w:r>
    </w:p>
    <w:p w14:paraId="593EAE0A" w14:textId="77777777" w:rsidR="000D6F8A" w:rsidRPr="0039632B" w:rsidRDefault="000D6F8A" w:rsidP="000D6F8A">
      <w:pPr>
        <w:numPr>
          <w:ilvl w:val="0"/>
          <w:numId w:val="32"/>
        </w:numPr>
        <w:shd w:val="clear" w:color="auto" w:fill="FFFFFF"/>
        <w:spacing w:before="100" w:beforeAutospacing="1" w:after="100" w:afterAutospacing="1" w:line="240" w:lineRule="auto"/>
        <w:rPr>
          <w:rFonts w:ascii="Calibri" w:eastAsia="Times New Roman" w:hAnsi="Calibri" w:cs="Calibri"/>
          <w:lang w:val="en-CA" w:eastAsia="en-CA"/>
        </w:rPr>
      </w:pPr>
      <w:r w:rsidRPr="0039632B">
        <w:rPr>
          <w:rFonts w:ascii="Calibri" w:eastAsia="Times New Roman" w:hAnsi="Calibri" w:cs="Calibri"/>
          <w:lang w:val="en-CA" w:eastAsia="en-CA"/>
        </w:rPr>
        <w:t>We affirm our commitment to excellence, to innovation and to leadership in research, academic programmes and community partnerships.</w:t>
      </w:r>
    </w:p>
    <w:p w14:paraId="54A797A3" w14:textId="77777777" w:rsidR="000D6F8A" w:rsidRPr="0039632B" w:rsidRDefault="000D6F8A" w:rsidP="000D6F8A">
      <w:pPr>
        <w:numPr>
          <w:ilvl w:val="0"/>
          <w:numId w:val="32"/>
        </w:numPr>
        <w:shd w:val="clear" w:color="auto" w:fill="FFFFFF"/>
        <w:spacing w:before="100" w:beforeAutospacing="1" w:after="100" w:afterAutospacing="1" w:line="240" w:lineRule="auto"/>
        <w:rPr>
          <w:rFonts w:ascii="Calibri" w:eastAsia="Times New Roman" w:hAnsi="Calibri" w:cs="Calibri"/>
          <w:lang w:val="en-CA" w:eastAsia="en-CA"/>
        </w:rPr>
      </w:pPr>
      <w:r w:rsidRPr="0039632B">
        <w:rPr>
          <w:rFonts w:ascii="Calibri" w:eastAsia="Times New Roman" w:hAnsi="Calibri" w:cs="Calibri"/>
          <w:lang w:val="en-CA" w:eastAsia="en-CA"/>
        </w:rPr>
        <w:t>We commit to building an inclusive intellectual and social community that values the collaboration of all of its individual members</w:t>
      </w:r>
      <w:r>
        <w:rPr>
          <w:rFonts w:ascii="Calibri" w:eastAsia="Times New Roman" w:hAnsi="Calibri" w:cs="Calibri"/>
          <w:lang w:val="en-CA" w:eastAsia="en-CA"/>
        </w:rPr>
        <w:t>.</w:t>
      </w:r>
    </w:p>
    <w:p w14:paraId="3C713888" w14:textId="77777777" w:rsidR="000D6F8A" w:rsidRPr="0039632B" w:rsidRDefault="000D6F8A" w:rsidP="000D6F8A">
      <w:pPr>
        <w:shd w:val="clear" w:color="auto" w:fill="FFFFFF"/>
        <w:spacing w:before="100" w:beforeAutospacing="1" w:after="100" w:afterAutospacing="1" w:line="240" w:lineRule="auto"/>
        <w:outlineLvl w:val="2"/>
        <w:rPr>
          <w:rFonts w:ascii="Calibri" w:eastAsia="Times New Roman" w:hAnsi="Calibri" w:cs="Calibri"/>
          <w:b/>
          <w:bCs/>
          <w:lang w:val="en-CA" w:eastAsia="en-CA"/>
        </w:rPr>
      </w:pPr>
      <w:r w:rsidRPr="0039632B">
        <w:rPr>
          <w:rFonts w:ascii="Calibri" w:eastAsia="Times New Roman" w:hAnsi="Calibri" w:cs="Calibri"/>
          <w:b/>
          <w:bCs/>
          <w:lang w:val="en-CA" w:eastAsia="en-CA"/>
        </w:rPr>
        <w:t>Mission</w:t>
      </w:r>
    </w:p>
    <w:p w14:paraId="5E929DF5" w14:textId="77777777" w:rsidR="000D6F8A" w:rsidRPr="0039632B" w:rsidRDefault="000D6F8A" w:rsidP="000D6F8A">
      <w:pPr>
        <w:shd w:val="clear" w:color="auto" w:fill="FFFFFF"/>
        <w:spacing w:before="100" w:beforeAutospacing="1" w:after="100" w:afterAutospacing="1" w:line="240" w:lineRule="auto"/>
        <w:rPr>
          <w:rFonts w:ascii="Calibri" w:eastAsia="Times New Roman" w:hAnsi="Calibri" w:cs="Calibri"/>
          <w:lang w:val="en-CA" w:eastAsia="en-CA"/>
        </w:rPr>
      </w:pPr>
      <w:r w:rsidRPr="0039632B">
        <w:rPr>
          <w:rFonts w:ascii="Calibri" w:eastAsia="Times New Roman" w:hAnsi="Calibri" w:cs="Calibri"/>
          <w:lang w:val="en-CA" w:eastAsia="en-CA"/>
        </w:rPr>
        <w:t>Over the next five years, Trent University's mission is to:</w:t>
      </w:r>
    </w:p>
    <w:p w14:paraId="39C2B711" w14:textId="77777777" w:rsidR="000D6F8A" w:rsidRPr="0039632B" w:rsidRDefault="000D6F8A" w:rsidP="000D6F8A">
      <w:pPr>
        <w:numPr>
          <w:ilvl w:val="0"/>
          <w:numId w:val="33"/>
        </w:numPr>
        <w:shd w:val="clear" w:color="auto" w:fill="FFFFFF"/>
        <w:spacing w:before="100" w:beforeAutospacing="1" w:after="100" w:afterAutospacing="1" w:line="240" w:lineRule="auto"/>
        <w:rPr>
          <w:rFonts w:ascii="Calibri" w:eastAsia="Times New Roman" w:hAnsi="Calibri" w:cs="Calibri"/>
          <w:lang w:val="en-CA" w:eastAsia="en-CA"/>
        </w:rPr>
      </w:pPr>
      <w:r w:rsidRPr="0039632B">
        <w:rPr>
          <w:rFonts w:ascii="Calibri" w:eastAsia="Times New Roman" w:hAnsi="Calibri" w:cs="Calibri"/>
          <w:lang w:val="en-CA" w:eastAsia="en-CA"/>
        </w:rPr>
        <w:t>Prepare students to make significant contributions to an increasingly complex world by providing them with a distinctive liberal arts, science or professionally focused education, which is enhanced by global perspectives, experiential learning and interdisciplinary approaches to personal and professional development;</w:t>
      </w:r>
    </w:p>
    <w:p w14:paraId="7DF5D2B3" w14:textId="77777777" w:rsidR="000D6F8A" w:rsidRPr="0039632B" w:rsidRDefault="000D6F8A" w:rsidP="000D6F8A">
      <w:pPr>
        <w:numPr>
          <w:ilvl w:val="0"/>
          <w:numId w:val="33"/>
        </w:numPr>
        <w:shd w:val="clear" w:color="auto" w:fill="FFFFFF"/>
        <w:spacing w:before="100" w:beforeAutospacing="1" w:after="100" w:afterAutospacing="1" w:line="240" w:lineRule="auto"/>
        <w:rPr>
          <w:rFonts w:ascii="Calibri" w:eastAsia="Times New Roman" w:hAnsi="Calibri" w:cs="Calibri"/>
          <w:lang w:val="en-CA" w:eastAsia="en-CA"/>
        </w:rPr>
      </w:pPr>
      <w:r w:rsidRPr="0039632B">
        <w:rPr>
          <w:rFonts w:ascii="Calibri" w:eastAsia="Times New Roman" w:hAnsi="Calibri" w:cs="Calibri"/>
          <w:lang w:val="en-CA" w:eastAsia="en-CA"/>
        </w:rPr>
        <w:t>Encourage and celebrate excellence and innovation in teaching, learning, research and student development;</w:t>
      </w:r>
    </w:p>
    <w:p w14:paraId="5AA120D3" w14:textId="77777777" w:rsidR="000D6F8A" w:rsidRPr="0039632B" w:rsidRDefault="000D6F8A" w:rsidP="000D6F8A">
      <w:pPr>
        <w:numPr>
          <w:ilvl w:val="0"/>
          <w:numId w:val="33"/>
        </w:numPr>
        <w:shd w:val="clear" w:color="auto" w:fill="FFFFFF"/>
        <w:spacing w:before="100" w:beforeAutospacing="1" w:after="100" w:afterAutospacing="1" w:line="240" w:lineRule="auto"/>
        <w:rPr>
          <w:rFonts w:ascii="Calibri" w:eastAsia="Times New Roman" w:hAnsi="Calibri" w:cs="Calibri"/>
          <w:lang w:val="en-CA" w:eastAsia="en-CA"/>
        </w:rPr>
      </w:pPr>
      <w:r w:rsidRPr="0039632B">
        <w:rPr>
          <w:rFonts w:ascii="Calibri" w:eastAsia="Times New Roman" w:hAnsi="Calibri" w:cs="Calibri"/>
          <w:lang w:val="en-CA" w:eastAsia="en-CA"/>
        </w:rPr>
        <w:t xml:space="preserve">Remain at the forefront of Indigenous </w:t>
      </w:r>
      <w:r>
        <w:rPr>
          <w:rFonts w:ascii="Calibri" w:eastAsia="Times New Roman" w:hAnsi="Calibri" w:cs="Calibri"/>
          <w:lang w:val="en-CA" w:eastAsia="en-CA"/>
        </w:rPr>
        <w:t xml:space="preserve">and environmental </w:t>
      </w:r>
      <w:r w:rsidRPr="0039632B">
        <w:rPr>
          <w:rFonts w:ascii="Calibri" w:eastAsia="Times New Roman" w:hAnsi="Calibri" w:cs="Calibri"/>
          <w:lang w:val="en-CA" w:eastAsia="en-CA"/>
        </w:rPr>
        <w:t>education and scholarship;</w:t>
      </w:r>
    </w:p>
    <w:p w14:paraId="72752BF8" w14:textId="77777777" w:rsidR="000D6F8A" w:rsidRPr="0039632B" w:rsidRDefault="000D6F8A" w:rsidP="000D6F8A">
      <w:pPr>
        <w:numPr>
          <w:ilvl w:val="0"/>
          <w:numId w:val="33"/>
        </w:numPr>
        <w:shd w:val="clear" w:color="auto" w:fill="FFFFFF"/>
        <w:spacing w:before="100" w:beforeAutospacing="1" w:after="100" w:afterAutospacing="1" w:line="240" w:lineRule="auto"/>
        <w:rPr>
          <w:rFonts w:ascii="Calibri" w:eastAsia="Times New Roman" w:hAnsi="Calibri" w:cs="Calibri"/>
          <w:lang w:val="en-CA" w:eastAsia="en-CA"/>
        </w:rPr>
      </w:pPr>
      <w:r w:rsidRPr="0039632B">
        <w:rPr>
          <w:rFonts w:ascii="Calibri" w:eastAsia="Times New Roman" w:hAnsi="Calibri" w:cs="Calibri"/>
          <w:lang w:val="en-CA" w:eastAsia="en-CA"/>
        </w:rPr>
        <w:t xml:space="preserve">Develop strong partnerships and collaborations with external communities, professions and other institutions, </w:t>
      </w:r>
      <w:r>
        <w:rPr>
          <w:rFonts w:ascii="Calibri" w:eastAsia="Times New Roman" w:hAnsi="Calibri" w:cs="Calibri"/>
          <w:lang w:val="en-CA" w:eastAsia="en-CA"/>
        </w:rPr>
        <w:t xml:space="preserve">and between </w:t>
      </w:r>
      <w:r w:rsidRPr="0039632B">
        <w:rPr>
          <w:rFonts w:ascii="Calibri" w:eastAsia="Times New Roman" w:hAnsi="Calibri" w:cs="Calibri"/>
          <w:lang w:val="en-CA" w:eastAsia="en-CA"/>
        </w:rPr>
        <w:t>our Colleges, departments and programs;</w:t>
      </w:r>
    </w:p>
    <w:p w14:paraId="1424C9D3" w14:textId="77777777" w:rsidR="000D6F8A" w:rsidRPr="0039632B" w:rsidRDefault="000D6F8A" w:rsidP="000D6F8A">
      <w:pPr>
        <w:numPr>
          <w:ilvl w:val="0"/>
          <w:numId w:val="33"/>
        </w:numPr>
        <w:shd w:val="clear" w:color="auto" w:fill="FFFFFF"/>
        <w:spacing w:before="100" w:beforeAutospacing="1" w:after="100" w:afterAutospacing="1" w:line="240" w:lineRule="auto"/>
        <w:rPr>
          <w:rFonts w:ascii="Calibri" w:eastAsia="Times New Roman" w:hAnsi="Calibri" w:cs="Calibri"/>
          <w:lang w:val="en-CA" w:eastAsia="en-CA"/>
        </w:rPr>
      </w:pPr>
      <w:r w:rsidRPr="0039632B">
        <w:rPr>
          <w:rFonts w:ascii="Calibri" w:eastAsia="Times New Roman" w:hAnsi="Calibri" w:cs="Calibri"/>
          <w:lang w:val="en-CA" w:eastAsia="en-CA"/>
        </w:rPr>
        <w:t>Foster sustainability, in its environmental, social and economic dimensions, on our campuses and in all aspects of our work;</w:t>
      </w:r>
    </w:p>
    <w:p w14:paraId="16A36178" w14:textId="718D8A3B" w:rsidR="00101282" w:rsidRPr="00101282" w:rsidRDefault="000D6F8A" w:rsidP="00101282">
      <w:pPr>
        <w:numPr>
          <w:ilvl w:val="0"/>
          <w:numId w:val="33"/>
        </w:numPr>
        <w:shd w:val="clear" w:color="auto" w:fill="FFFFFF"/>
        <w:spacing w:before="100" w:beforeAutospacing="1" w:after="100" w:afterAutospacing="1" w:line="240" w:lineRule="auto"/>
        <w:rPr>
          <w:rFonts w:ascii="Calibri" w:eastAsia="Times New Roman" w:hAnsi="Calibri" w:cs="Calibri"/>
          <w:lang w:val="en-CA" w:eastAsia="en-CA"/>
        </w:rPr>
      </w:pPr>
      <w:r w:rsidRPr="0039632B">
        <w:rPr>
          <w:rFonts w:ascii="Calibri" w:eastAsia="Times New Roman" w:hAnsi="Calibri" w:cs="Calibri"/>
          <w:lang w:val="en-CA" w:eastAsia="en-CA"/>
        </w:rPr>
        <w:t xml:space="preserve">Promote a culture </w:t>
      </w:r>
      <w:r>
        <w:rPr>
          <w:rFonts w:ascii="Calibri" w:eastAsia="Times New Roman" w:hAnsi="Calibri" w:cs="Calibri"/>
          <w:lang w:val="en-CA" w:eastAsia="en-CA"/>
        </w:rPr>
        <w:t>that</w:t>
      </w:r>
      <w:r w:rsidRPr="0039632B">
        <w:rPr>
          <w:rFonts w:ascii="Calibri" w:eastAsia="Times New Roman" w:hAnsi="Calibri" w:cs="Calibri"/>
          <w:lang w:val="en-CA" w:eastAsia="en-CA"/>
        </w:rPr>
        <w:t xml:space="preserve"> engages all members of the Trent community, favours dialogue and collegiality and nurtures a sense of belonging.</w:t>
      </w:r>
    </w:p>
    <w:p w14:paraId="656F8F49" w14:textId="77777777" w:rsidR="000F4473" w:rsidRPr="007C48EE" w:rsidRDefault="00AD670F" w:rsidP="007C48EE">
      <w:pPr>
        <w:pStyle w:val="Title"/>
      </w:pPr>
      <w:r w:rsidRPr="00DC26FB">
        <w:t>A</w:t>
      </w:r>
      <w:r w:rsidR="007C48EE">
        <w:t>spirations</w:t>
      </w:r>
    </w:p>
    <w:p w14:paraId="03D8BDD0" w14:textId="77777777" w:rsidR="000F4473" w:rsidRPr="00101282" w:rsidRDefault="000F4473" w:rsidP="007C48EE">
      <w:pPr>
        <w:rPr>
          <w:i/>
        </w:rPr>
      </w:pPr>
      <w:r w:rsidRPr="00101282">
        <w:rPr>
          <w:i/>
        </w:rPr>
        <w:t xml:space="preserve">The Ministry recognizes the importance of supporting institutions to evolve and acknowledges the strategic aspirations of its postsecondary education institutions. The SMA is not intended to capture all decisions and issues in the postsecondary education system, as many will be addressed through the Ministry’s policies and standard processes. The Ministry will not be approving any requests for capital </w:t>
      </w:r>
      <w:r w:rsidR="00DB4723" w:rsidRPr="00101282">
        <w:rPr>
          <w:i/>
        </w:rPr>
        <w:t>funding</w:t>
      </w:r>
      <w:r w:rsidRPr="00101282">
        <w:rPr>
          <w:i/>
        </w:rPr>
        <w:t xml:space="preserve"> or new program approvals, for example, through the SMA process.</w:t>
      </w:r>
    </w:p>
    <w:p w14:paraId="2CF68352" w14:textId="77777777" w:rsidR="000F4473" w:rsidRPr="000F4473" w:rsidRDefault="000F4473" w:rsidP="000F4473">
      <w:pPr>
        <w:rPr>
          <w:rFonts w:ascii="Calibri" w:hAnsi="Calibri" w:cs="Calibri"/>
          <w:b/>
        </w:rPr>
      </w:pPr>
      <w:r w:rsidRPr="000F4473">
        <w:rPr>
          <w:rFonts w:ascii="Calibri" w:hAnsi="Calibri" w:cs="Calibri"/>
          <w:b/>
        </w:rPr>
        <w:t>Institutional Aspirations</w:t>
      </w:r>
    </w:p>
    <w:p w14:paraId="0818A175" w14:textId="77777777" w:rsidR="000D6F8A" w:rsidRDefault="00FA73E3" w:rsidP="000D6F8A">
      <w:pPr>
        <w:rPr>
          <w:rFonts w:ascii="Calibri" w:hAnsi="Calibri" w:cs="Calibri"/>
        </w:rPr>
      </w:pPr>
      <w:r>
        <w:rPr>
          <w:rFonts w:ascii="Calibri" w:hAnsi="Calibri" w:cs="Calibri"/>
        </w:rPr>
        <w:t xml:space="preserve"> </w:t>
      </w:r>
      <w:r w:rsidR="000D6F8A" w:rsidRPr="00E54CF1">
        <w:rPr>
          <w:rFonts w:ascii="Calibri" w:hAnsi="Calibri" w:cs="Calibri"/>
        </w:rPr>
        <w:t xml:space="preserve">Trent University </w:t>
      </w:r>
      <w:r w:rsidR="000D6F8A">
        <w:rPr>
          <w:rFonts w:ascii="Calibri" w:hAnsi="Calibri" w:cs="Calibri"/>
        </w:rPr>
        <w:t>has campuses in Peterborough and Durham Greater Toronto Area (GTA). We aspire</w:t>
      </w:r>
      <w:r w:rsidR="000D6F8A" w:rsidRPr="00E54CF1">
        <w:rPr>
          <w:rFonts w:ascii="Calibri" w:hAnsi="Calibri" w:cs="Calibri"/>
        </w:rPr>
        <w:t xml:space="preserve"> </w:t>
      </w:r>
      <w:r w:rsidR="000D6F8A">
        <w:rPr>
          <w:rFonts w:ascii="Calibri" w:hAnsi="Calibri" w:cs="Calibri"/>
        </w:rPr>
        <w:t xml:space="preserve">to maintain and extend our excellence and reputation in teaching and research. We aim to do this while fostering and enhancing our positive social and economic impacts on the physical and intellectual communities with which we interact — in Peterborough and the Durham GTA region, and in Ontario, Canada and around the world. </w:t>
      </w:r>
    </w:p>
    <w:p w14:paraId="33F6AF9D" w14:textId="77777777" w:rsidR="000D6F8A" w:rsidRDefault="000D6F8A" w:rsidP="000D6F8A">
      <w:pPr>
        <w:rPr>
          <w:rFonts w:ascii="Calibri" w:hAnsi="Calibri" w:cs="Calibri"/>
        </w:rPr>
      </w:pPr>
      <w:r>
        <w:rPr>
          <w:rFonts w:ascii="Calibri" w:hAnsi="Calibri" w:cs="Calibri"/>
        </w:rPr>
        <w:t>Environmental sustainability (creating environmentally friendly solutions to contemporary problems, fighting climate change, etc.) is an overarching goal of Trent and our community. In pursuit of this and other goals, we will pursue the careful development of our Endowment Lands. Current plans include building a research park for green industry and clean tech, and possible residential development.</w:t>
      </w:r>
    </w:p>
    <w:p w14:paraId="19BBF706" w14:textId="77777777" w:rsidR="000D6F8A" w:rsidRDefault="000D6F8A" w:rsidP="000D6F8A">
      <w:pPr>
        <w:rPr>
          <w:rFonts w:ascii="Calibri" w:hAnsi="Calibri" w:cs="Calibri"/>
        </w:rPr>
      </w:pPr>
      <w:r>
        <w:rPr>
          <w:rFonts w:ascii="Calibri" w:hAnsi="Calibri" w:cs="Calibri"/>
        </w:rPr>
        <w:t xml:space="preserve">Our plans for Trent’s Endowment Lands are in keeping with the vision for development of Trent University and the Endowment Lands that was articulated in the </w:t>
      </w:r>
      <w:r w:rsidRPr="00F14A45">
        <w:rPr>
          <w:rFonts w:ascii="Calibri" w:hAnsi="Calibri" w:cs="Calibri"/>
        </w:rPr>
        <w:t>1964 Master Plan</w:t>
      </w:r>
      <w:r>
        <w:rPr>
          <w:rFonts w:ascii="Calibri" w:hAnsi="Calibri" w:cs="Calibri"/>
        </w:rPr>
        <w:t>.</w:t>
      </w:r>
      <w:r w:rsidRPr="00F14A45">
        <w:rPr>
          <w:rFonts w:ascii="Calibri" w:hAnsi="Calibri" w:cs="Calibri"/>
        </w:rPr>
        <w:t xml:space="preserve"> </w:t>
      </w:r>
      <w:r>
        <w:rPr>
          <w:rFonts w:ascii="Calibri" w:hAnsi="Calibri" w:cs="Calibri"/>
        </w:rPr>
        <w:t>Like other u</w:t>
      </w:r>
      <w:r w:rsidRPr="00F14A45">
        <w:rPr>
          <w:rFonts w:ascii="Calibri" w:hAnsi="Calibri" w:cs="Calibri"/>
        </w:rPr>
        <w:t>niversities</w:t>
      </w:r>
      <w:r>
        <w:rPr>
          <w:rFonts w:ascii="Calibri" w:hAnsi="Calibri" w:cs="Calibri"/>
        </w:rPr>
        <w:t>,</w:t>
      </w:r>
      <w:r w:rsidRPr="00F14A45">
        <w:rPr>
          <w:rFonts w:ascii="Calibri" w:hAnsi="Calibri" w:cs="Calibri"/>
        </w:rPr>
        <w:t xml:space="preserve"> </w:t>
      </w:r>
      <w:r>
        <w:rPr>
          <w:rFonts w:ascii="Calibri" w:hAnsi="Calibri" w:cs="Calibri"/>
        </w:rPr>
        <w:t xml:space="preserve">Trent wishes to </w:t>
      </w:r>
      <w:r w:rsidRPr="00F14A45">
        <w:rPr>
          <w:rFonts w:ascii="Calibri" w:hAnsi="Calibri" w:cs="Calibri"/>
        </w:rPr>
        <w:t xml:space="preserve">use </w:t>
      </w:r>
      <w:r>
        <w:rPr>
          <w:rFonts w:ascii="Calibri" w:hAnsi="Calibri" w:cs="Calibri"/>
        </w:rPr>
        <w:t xml:space="preserve">its </w:t>
      </w:r>
      <w:r w:rsidRPr="00F14A45">
        <w:rPr>
          <w:rFonts w:ascii="Calibri" w:hAnsi="Calibri" w:cs="Calibri"/>
        </w:rPr>
        <w:t xml:space="preserve">lands to enhance the student experience, foster new research and academic partnerships, create </w:t>
      </w:r>
      <w:r>
        <w:rPr>
          <w:rFonts w:ascii="Calibri" w:hAnsi="Calibri" w:cs="Calibri"/>
        </w:rPr>
        <w:t>e</w:t>
      </w:r>
      <w:r w:rsidRPr="00F14A45">
        <w:rPr>
          <w:rFonts w:ascii="Calibri" w:hAnsi="Calibri" w:cs="Calibri"/>
        </w:rPr>
        <w:t xml:space="preserve">xperiential learning and employment opportunities, provide services to local neighbourhoods and generate revenue streams for strategic projects. The Endowment Lands Master Plan (2006) and the Trent Lands Plan (2013) </w:t>
      </w:r>
      <w:r>
        <w:rPr>
          <w:rFonts w:ascii="Calibri" w:hAnsi="Calibri" w:cs="Calibri"/>
        </w:rPr>
        <w:t xml:space="preserve">aim to </w:t>
      </w:r>
      <w:r w:rsidRPr="00F14A45">
        <w:rPr>
          <w:rFonts w:ascii="Calibri" w:hAnsi="Calibri" w:cs="Calibri"/>
        </w:rPr>
        <w:t xml:space="preserve">develop the Endowment Lands </w:t>
      </w:r>
      <w:r>
        <w:rPr>
          <w:rFonts w:ascii="Calibri" w:hAnsi="Calibri" w:cs="Calibri"/>
        </w:rPr>
        <w:t xml:space="preserve">in a way that benefits </w:t>
      </w:r>
      <w:r w:rsidRPr="00F14A45">
        <w:rPr>
          <w:rFonts w:ascii="Calibri" w:hAnsi="Calibri" w:cs="Calibri"/>
        </w:rPr>
        <w:t xml:space="preserve">the Trent community and </w:t>
      </w:r>
      <w:r>
        <w:rPr>
          <w:rFonts w:ascii="Calibri" w:hAnsi="Calibri" w:cs="Calibri"/>
        </w:rPr>
        <w:t xml:space="preserve">the Greater </w:t>
      </w:r>
      <w:r w:rsidRPr="00F14A45">
        <w:rPr>
          <w:rFonts w:ascii="Calibri" w:hAnsi="Calibri" w:cs="Calibri"/>
        </w:rPr>
        <w:t>Peterborough r</w:t>
      </w:r>
      <w:r>
        <w:rPr>
          <w:rFonts w:ascii="Calibri" w:hAnsi="Calibri" w:cs="Calibri"/>
        </w:rPr>
        <w:t>egion.</w:t>
      </w:r>
    </w:p>
    <w:p w14:paraId="4448DE12" w14:textId="4AA60F1F" w:rsidR="000D6F8A" w:rsidRPr="00101282" w:rsidRDefault="000D6F8A">
      <w:pPr>
        <w:rPr>
          <w:rFonts w:ascii="Calibri" w:hAnsi="Calibri" w:cs="Calibri"/>
          <w:i/>
        </w:rPr>
      </w:pPr>
      <w:r>
        <w:rPr>
          <w:rFonts w:ascii="Calibri" w:hAnsi="Calibri" w:cs="Calibri"/>
        </w:rPr>
        <w:t>As a university, Trent aspires to remain a smaller institution with modest growth. The Board of Governors has suggested 10,000 students as a possible enrolment, with much of the increase coming in Durham GTA, and some of it from the expansion of our international enrolment.  During the time covered by this SMA we aim to renew our existing programming and develop new programming that helps Ontario maintain a healthy postsecondary system which is a mix of established disciplines, new programs and integrated and interdisciplinary learning and research.</w:t>
      </w:r>
    </w:p>
    <w:p w14:paraId="3A7C3573" w14:textId="77777777" w:rsidR="00AB06AC" w:rsidRPr="00DC26FB" w:rsidRDefault="00DC43C7" w:rsidP="007C48EE">
      <w:pPr>
        <w:pStyle w:val="Title"/>
      </w:pPr>
      <w:r w:rsidRPr="00DC26FB">
        <w:t>S</w:t>
      </w:r>
      <w:r w:rsidR="007C48EE">
        <w:t>hared</w:t>
      </w:r>
      <w:r w:rsidRPr="00DC26FB">
        <w:t xml:space="preserve"> O</w:t>
      </w:r>
      <w:r w:rsidR="007C48EE">
        <w:t>bjectives and Priorities</w:t>
      </w:r>
      <w:r w:rsidR="00B34347">
        <w:t xml:space="preserve"> for Differentiation</w:t>
      </w:r>
    </w:p>
    <w:p w14:paraId="4A1B5F9C" w14:textId="77777777" w:rsidR="00F03314" w:rsidRDefault="00F03314">
      <w:pPr>
        <w:rPr>
          <w:rFonts w:asciiTheme="majorHAnsi" w:eastAsiaTheme="majorEastAsia" w:hAnsiTheme="majorHAnsi" w:cstheme="majorBidi"/>
          <w:spacing w:val="5"/>
          <w:sz w:val="52"/>
          <w:szCs w:val="52"/>
        </w:rPr>
      </w:pPr>
    </w:p>
    <w:p w14:paraId="172FAD8E" w14:textId="77777777" w:rsidR="00AD670F" w:rsidRDefault="00FE5CF0" w:rsidP="00ED423E">
      <w:pPr>
        <w:pStyle w:val="Title"/>
        <w:numPr>
          <w:ilvl w:val="0"/>
          <w:numId w:val="8"/>
        </w:numPr>
      </w:pPr>
      <w:r w:rsidRPr="007C48EE">
        <w:t>S</w:t>
      </w:r>
      <w:r w:rsidR="007C48EE">
        <w:t>tudent Experience</w:t>
      </w:r>
    </w:p>
    <w:p w14:paraId="1B21D7D0" w14:textId="77777777" w:rsidR="00AD670F" w:rsidRPr="00101282" w:rsidRDefault="00AD670F" w:rsidP="00AD670F">
      <w:pPr>
        <w:spacing w:after="0"/>
        <w:rPr>
          <w:i/>
        </w:rPr>
      </w:pPr>
      <w:r w:rsidRPr="00101282">
        <w:rPr>
          <w:rStyle w:val="TableheadingChar"/>
          <w:rFonts w:eastAsiaTheme="minorEastAsia"/>
          <w:b w:val="0"/>
          <w:i/>
          <w:sz w:val="22"/>
          <w:szCs w:val="22"/>
        </w:rPr>
        <w:t>This section captures institutional strengths in improving student experience, outcomes and success. This section recognizes institutions for measuring the broader learning environment, such as continuity of learning pathways; retention; student satisfaction; co-curricular activities and records; career preparedness; and student services and supports</w:t>
      </w:r>
      <w:r w:rsidRPr="00101282">
        <w:rPr>
          <w:i/>
        </w:rPr>
        <w:t xml:space="preserve">.  </w:t>
      </w:r>
    </w:p>
    <w:p w14:paraId="7C60F504" w14:textId="77777777" w:rsidR="00F05816" w:rsidRPr="00AD670F" w:rsidRDefault="00F05816" w:rsidP="00ED423E">
      <w:pPr>
        <w:pStyle w:val="Heading1"/>
      </w:pPr>
      <w:r w:rsidRPr="00AD670F">
        <w:t xml:space="preserve">Institutional Approach to Improving Student Experience </w:t>
      </w:r>
    </w:p>
    <w:p w14:paraId="2EA48BF9" w14:textId="77777777" w:rsidR="000D6F8A" w:rsidRDefault="000D6F8A" w:rsidP="000D6F8A">
      <w:pPr>
        <w:rPr>
          <w:rFonts w:ascii="Calibri" w:hAnsi="Calibri" w:cs="Calibri"/>
        </w:rPr>
      </w:pPr>
      <w:r>
        <w:rPr>
          <w:rFonts w:ascii="Calibri" w:hAnsi="Calibri" w:cs="Calibri"/>
        </w:rPr>
        <w:t xml:space="preserve">Key components of Trent’s approach to student experience are: </w:t>
      </w:r>
    </w:p>
    <w:p w14:paraId="799A8A1F" w14:textId="77777777" w:rsidR="000D6F8A" w:rsidRPr="000C2049" w:rsidRDefault="000D6F8A" w:rsidP="000D6F8A">
      <w:pPr>
        <w:pStyle w:val="ListParagraph"/>
        <w:numPr>
          <w:ilvl w:val="0"/>
          <w:numId w:val="34"/>
        </w:numPr>
        <w:rPr>
          <w:rFonts w:ascii="Calibri" w:hAnsi="Calibri" w:cs="Calibri"/>
        </w:rPr>
      </w:pPr>
      <w:r>
        <w:rPr>
          <w:rFonts w:ascii="Calibri" w:hAnsi="Calibri" w:cs="Calibri"/>
        </w:rPr>
        <w:t>Its</w:t>
      </w:r>
      <w:r w:rsidRPr="000C2049">
        <w:rPr>
          <w:rFonts w:ascii="Calibri" w:hAnsi="Calibri" w:cs="Calibri"/>
        </w:rPr>
        <w:t xml:space="preserve"> emphasis on student support and on positive relations with student groups, especially student unions; </w:t>
      </w:r>
    </w:p>
    <w:p w14:paraId="38B1D015" w14:textId="77777777" w:rsidR="000D6F8A" w:rsidRDefault="000D6F8A" w:rsidP="000D6F8A">
      <w:pPr>
        <w:pStyle w:val="ListParagraph"/>
        <w:numPr>
          <w:ilvl w:val="0"/>
          <w:numId w:val="34"/>
        </w:numPr>
        <w:rPr>
          <w:rFonts w:ascii="Calibri" w:hAnsi="Calibri" w:cs="Calibri"/>
        </w:rPr>
      </w:pPr>
      <w:r>
        <w:rPr>
          <w:rFonts w:ascii="Calibri" w:hAnsi="Calibri" w:cs="Calibri"/>
        </w:rPr>
        <w:t>A</w:t>
      </w:r>
      <w:r w:rsidRPr="000C2049">
        <w:rPr>
          <w:rFonts w:ascii="Calibri" w:hAnsi="Calibri" w:cs="Calibri"/>
        </w:rPr>
        <w:t xml:space="preserve"> unique college system</w:t>
      </w:r>
      <w:r>
        <w:rPr>
          <w:rFonts w:ascii="Calibri" w:hAnsi="Calibri" w:cs="Calibri"/>
        </w:rPr>
        <w:t>,</w:t>
      </w:r>
      <w:r w:rsidRPr="000C2049">
        <w:rPr>
          <w:rFonts w:ascii="Calibri" w:hAnsi="Calibri" w:cs="Calibri"/>
        </w:rPr>
        <w:t xml:space="preserve"> which locates students within smaller communit</w:t>
      </w:r>
      <w:r>
        <w:rPr>
          <w:rFonts w:ascii="Calibri" w:hAnsi="Calibri" w:cs="Calibri"/>
        </w:rPr>
        <w:t>ies</w:t>
      </w:r>
      <w:r w:rsidRPr="000C2049">
        <w:rPr>
          <w:rFonts w:ascii="Calibri" w:hAnsi="Calibri" w:cs="Calibri"/>
        </w:rPr>
        <w:t xml:space="preserve"> and provides multiple opportunities for student leadership roles; </w:t>
      </w:r>
    </w:p>
    <w:p w14:paraId="1888832F" w14:textId="77777777" w:rsidR="000D6F8A" w:rsidRDefault="000D6F8A" w:rsidP="000D6F8A">
      <w:pPr>
        <w:pStyle w:val="ListParagraph"/>
        <w:numPr>
          <w:ilvl w:val="0"/>
          <w:numId w:val="34"/>
        </w:numPr>
        <w:rPr>
          <w:rFonts w:ascii="Calibri" w:hAnsi="Calibri" w:cs="Calibri"/>
        </w:rPr>
      </w:pPr>
      <w:r>
        <w:rPr>
          <w:rFonts w:ascii="Calibri" w:hAnsi="Calibri" w:cs="Calibri"/>
        </w:rPr>
        <w:t>T</w:t>
      </w:r>
      <w:r w:rsidRPr="000C2049">
        <w:rPr>
          <w:rFonts w:ascii="Calibri" w:hAnsi="Calibri" w:cs="Calibri"/>
        </w:rPr>
        <w:t xml:space="preserve">he continued development of a Centre </w:t>
      </w:r>
      <w:r>
        <w:rPr>
          <w:rFonts w:ascii="Calibri" w:hAnsi="Calibri" w:cs="Calibri"/>
        </w:rPr>
        <w:t>for</w:t>
      </w:r>
      <w:r w:rsidRPr="000C2049">
        <w:rPr>
          <w:rFonts w:ascii="Calibri" w:hAnsi="Calibri" w:cs="Calibri"/>
        </w:rPr>
        <w:t xml:space="preserve"> Teaching and Learning to promote best practices in </w:t>
      </w:r>
      <w:r>
        <w:rPr>
          <w:rFonts w:ascii="Calibri" w:hAnsi="Calibri" w:cs="Calibri"/>
        </w:rPr>
        <w:t>this area</w:t>
      </w:r>
      <w:r w:rsidRPr="000C2049">
        <w:rPr>
          <w:rFonts w:ascii="Calibri" w:hAnsi="Calibri" w:cs="Calibri"/>
        </w:rPr>
        <w:t xml:space="preserve">; </w:t>
      </w:r>
    </w:p>
    <w:p w14:paraId="481D557A" w14:textId="77777777" w:rsidR="000D6F8A" w:rsidRDefault="000D6F8A" w:rsidP="000D6F8A">
      <w:pPr>
        <w:pStyle w:val="ListParagraph"/>
        <w:numPr>
          <w:ilvl w:val="0"/>
          <w:numId w:val="34"/>
        </w:numPr>
        <w:rPr>
          <w:rFonts w:ascii="Calibri" w:hAnsi="Calibri" w:cs="Calibri"/>
        </w:rPr>
      </w:pPr>
      <w:r>
        <w:rPr>
          <w:rFonts w:ascii="Calibri" w:hAnsi="Calibri" w:cs="Calibri"/>
        </w:rPr>
        <w:t>A</w:t>
      </w:r>
      <w:r w:rsidRPr="000C2049">
        <w:rPr>
          <w:rFonts w:ascii="Calibri" w:hAnsi="Calibri" w:cs="Calibri"/>
        </w:rPr>
        <w:t xml:space="preserve"> planned expansion of co-op, experiential learning and career services; </w:t>
      </w:r>
    </w:p>
    <w:p w14:paraId="2864F407" w14:textId="77777777" w:rsidR="000D6F8A" w:rsidRDefault="000D6F8A" w:rsidP="000D6F8A">
      <w:pPr>
        <w:pStyle w:val="ListParagraph"/>
        <w:numPr>
          <w:ilvl w:val="0"/>
          <w:numId w:val="34"/>
        </w:numPr>
        <w:rPr>
          <w:rFonts w:ascii="Calibri" w:hAnsi="Calibri" w:cs="Calibri"/>
        </w:rPr>
      </w:pPr>
      <w:r>
        <w:rPr>
          <w:rFonts w:ascii="Calibri" w:hAnsi="Calibri" w:cs="Calibri"/>
        </w:rPr>
        <w:t>S</w:t>
      </w:r>
      <w:r w:rsidRPr="000C2049">
        <w:rPr>
          <w:rFonts w:ascii="Calibri" w:hAnsi="Calibri" w:cs="Calibri"/>
        </w:rPr>
        <w:t xml:space="preserve">tudent involvement in research at the graduate and undergraduate level; </w:t>
      </w:r>
    </w:p>
    <w:p w14:paraId="43F267B1" w14:textId="77777777" w:rsidR="000D6F8A" w:rsidRDefault="000D6F8A" w:rsidP="000D6F8A">
      <w:pPr>
        <w:pStyle w:val="ListParagraph"/>
        <w:numPr>
          <w:ilvl w:val="0"/>
          <w:numId w:val="34"/>
        </w:numPr>
        <w:rPr>
          <w:rFonts w:ascii="Calibri" w:hAnsi="Calibri" w:cs="Calibri"/>
        </w:rPr>
      </w:pPr>
      <w:r>
        <w:rPr>
          <w:rFonts w:ascii="Calibri" w:hAnsi="Calibri" w:cs="Calibri"/>
        </w:rPr>
        <w:t>A commitment to international education, both for Trent’s domestic students and for those international students who study at Trent;</w:t>
      </w:r>
    </w:p>
    <w:p w14:paraId="4580BF27" w14:textId="77777777" w:rsidR="000D6F8A" w:rsidRDefault="000D6F8A" w:rsidP="000D6F8A">
      <w:pPr>
        <w:pStyle w:val="ListParagraph"/>
        <w:numPr>
          <w:ilvl w:val="0"/>
          <w:numId w:val="34"/>
        </w:numPr>
        <w:rPr>
          <w:rFonts w:ascii="Calibri" w:hAnsi="Calibri" w:cs="Calibri"/>
        </w:rPr>
      </w:pPr>
      <w:r>
        <w:rPr>
          <w:rFonts w:ascii="Calibri" w:hAnsi="Calibri" w:cs="Calibri"/>
        </w:rPr>
        <w:t>C</w:t>
      </w:r>
      <w:r w:rsidRPr="000C2049">
        <w:rPr>
          <w:rFonts w:ascii="Calibri" w:hAnsi="Calibri" w:cs="Calibri"/>
        </w:rPr>
        <w:t xml:space="preserve">ontinued connectivity and communications improvements to ensure each student has campus-wide access to </w:t>
      </w:r>
      <w:r>
        <w:rPr>
          <w:rFonts w:ascii="Calibri" w:hAnsi="Calibri" w:cs="Calibri"/>
        </w:rPr>
        <w:t>the I</w:t>
      </w:r>
      <w:r w:rsidRPr="000C2049">
        <w:rPr>
          <w:rFonts w:ascii="Calibri" w:hAnsi="Calibri" w:cs="Calibri"/>
        </w:rPr>
        <w:t xml:space="preserve">nternet and teaching technology; and </w:t>
      </w:r>
    </w:p>
    <w:p w14:paraId="77320A70" w14:textId="77777777" w:rsidR="000D6F8A" w:rsidRDefault="000D6F8A" w:rsidP="000D6F8A">
      <w:pPr>
        <w:pStyle w:val="ListParagraph"/>
        <w:numPr>
          <w:ilvl w:val="0"/>
          <w:numId w:val="34"/>
        </w:numPr>
        <w:rPr>
          <w:rFonts w:ascii="Calibri" w:hAnsi="Calibri" w:cs="Calibri"/>
        </w:rPr>
      </w:pPr>
      <w:r>
        <w:rPr>
          <w:rFonts w:ascii="Calibri" w:hAnsi="Calibri" w:cs="Calibri"/>
        </w:rPr>
        <w:t>E</w:t>
      </w:r>
      <w:r w:rsidRPr="000C2049">
        <w:rPr>
          <w:rFonts w:ascii="Calibri" w:hAnsi="Calibri" w:cs="Calibri"/>
        </w:rPr>
        <w:t xml:space="preserve">xtensive relations and partnerships with the communities in which </w:t>
      </w:r>
      <w:r>
        <w:rPr>
          <w:rFonts w:ascii="Calibri" w:hAnsi="Calibri" w:cs="Calibri"/>
        </w:rPr>
        <w:t>Trent is</w:t>
      </w:r>
      <w:r w:rsidRPr="000C2049">
        <w:rPr>
          <w:rFonts w:ascii="Calibri" w:hAnsi="Calibri" w:cs="Calibri"/>
        </w:rPr>
        <w:t xml:space="preserve"> located.</w:t>
      </w:r>
    </w:p>
    <w:p w14:paraId="55C771A2" w14:textId="77777777" w:rsidR="000D6F8A" w:rsidRDefault="000D6F8A" w:rsidP="000D6F8A">
      <w:pPr>
        <w:pStyle w:val="ListParagraph"/>
        <w:rPr>
          <w:rFonts w:ascii="Calibri" w:hAnsi="Calibri" w:cs="Calibri"/>
        </w:rPr>
      </w:pPr>
    </w:p>
    <w:p w14:paraId="5F5F32EF" w14:textId="77777777" w:rsidR="000D6F8A" w:rsidRPr="00F2670F" w:rsidRDefault="000D6F8A" w:rsidP="000D6F8A">
      <w:pPr>
        <w:pStyle w:val="ListParagraph"/>
        <w:ind w:left="0"/>
        <w:rPr>
          <w:rFonts w:ascii="Calibri" w:hAnsi="Calibri" w:cs="Calibri"/>
        </w:rPr>
      </w:pPr>
      <w:r w:rsidRPr="00F2670F">
        <w:rPr>
          <w:rFonts w:ascii="Calibri" w:hAnsi="Calibri" w:cs="Calibri"/>
        </w:rPr>
        <w:t xml:space="preserve">In the latter case, the emphasis is on Peterborough and Durham, but Trent considers itself a gateway to Eastern and Northern Ontario </w:t>
      </w:r>
      <w:r>
        <w:rPr>
          <w:rFonts w:ascii="Calibri" w:hAnsi="Calibri" w:cs="Calibri"/>
        </w:rPr>
        <w:t>and t</w:t>
      </w:r>
      <w:r w:rsidRPr="00F2670F">
        <w:rPr>
          <w:rFonts w:ascii="Calibri" w:hAnsi="Calibri" w:cs="Calibri"/>
        </w:rPr>
        <w:t>his is reflected in its community outreach, as are provincial, national and international interests.</w:t>
      </w:r>
    </w:p>
    <w:p w14:paraId="6231E7EB" w14:textId="77777777" w:rsidR="000D6F8A" w:rsidRPr="00E74C47" w:rsidRDefault="000D6F8A" w:rsidP="000D6F8A">
      <w:pPr>
        <w:rPr>
          <w:rFonts w:ascii="Calibri" w:hAnsi="Calibri" w:cs="Calibri"/>
        </w:rPr>
      </w:pPr>
      <w:r>
        <w:rPr>
          <w:rFonts w:ascii="Calibri" w:hAnsi="Calibri" w:cs="Calibri"/>
        </w:rPr>
        <w:t xml:space="preserve">Trent aims to provide a student experience that promotes </w:t>
      </w:r>
      <w:r w:rsidRPr="00E74C47">
        <w:rPr>
          <w:rFonts w:ascii="Calibri" w:hAnsi="Calibri" w:cs="Calibri"/>
        </w:rPr>
        <w:t xml:space="preserve">student resilience, </w:t>
      </w:r>
      <w:r>
        <w:rPr>
          <w:rFonts w:ascii="Calibri" w:hAnsi="Calibri" w:cs="Calibri"/>
        </w:rPr>
        <w:t xml:space="preserve">understanding </w:t>
      </w:r>
      <w:r w:rsidRPr="00E74C47">
        <w:rPr>
          <w:rFonts w:ascii="Calibri" w:hAnsi="Calibri" w:cs="Calibri"/>
        </w:rPr>
        <w:t>and success. This i</w:t>
      </w:r>
      <w:r>
        <w:rPr>
          <w:rFonts w:ascii="Calibri" w:hAnsi="Calibri" w:cs="Calibri"/>
        </w:rPr>
        <w:t xml:space="preserve">s pursued in </w:t>
      </w:r>
      <w:r w:rsidRPr="00E74C47">
        <w:rPr>
          <w:rFonts w:ascii="Calibri" w:hAnsi="Calibri" w:cs="Calibri"/>
        </w:rPr>
        <w:t xml:space="preserve">an environment </w:t>
      </w:r>
      <w:r>
        <w:rPr>
          <w:rFonts w:ascii="Calibri" w:hAnsi="Calibri" w:cs="Calibri"/>
        </w:rPr>
        <w:t>where</w:t>
      </w:r>
      <w:r w:rsidRPr="00E74C47">
        <w:rPr>
          <w:rFonts w:ascii="Calibri" w:hAnsi="Calibri" w:cs="Calibri"/>
        </w:rPr>
        <w:t xml:space="preserve"> students are encouraged to be mutually supportive</w:t>
      </w:r>
      <w:r>
        <w:rPr>
          <w:rFonts w:ascii="Calibri" w:hAnsi="Calibri" w:cs="Calibri"/>
        </w:rPr>
        <w:t>, to</w:t>
      </w:r>
      <w:r w:rsidRPr="00E74C47">
        <w:rPr>
          <w:rFonts w:ascii="Calibri" w:hAnsi="Calibri" w:cs="Calibri"/>
        </w:rPr>
        <w:t xml:space="preserve"> seek help when needed and to develop </w:t>
      </w:r>
      <w:r>
        <w:rPr>
          <w:rFonts w:ascii="Calibri" w:hAnsi="Calibri" w:cs="Calibri"/>
        </w:rPr>
        <w:t>their academic and life goals.</w:t>
      </w:r>
    </w:p>
    <w:p w14:paraId="2F9B0E32" w14:textId="77777777" w:rsidR="000D6F8A" w:rsidRDefault="000D6F8A" w:rsidP="000D6F8A">
      <w:pPr>
        <w:rPr>
          <w:rFonts w:ascii="Calibri" w:hAnsi="Calibri" w:cs="Calibri"/>
        </w:rPr>
      </w:pPr>
      <w:r w:rsidRPr="00813BA0">
        <w:rPr>
          <w:rFonts w:ascii="Calibri" w:hAnsi="Calibri" w:cs="Calibri"/>
        </w:rPr>
        <w:t xml:space="preserve">All Trent students </w:t>
      </w:r>
      <w:r>
        <w:rPr>
          <w:rFonts w:ascii="Calibri" w:hAnsi="Calibri" w:cs="Calibri"/>
        </w:rPr>
        <w:t xml:space="preserve">in Peterborough </w:t>
      </w:r>
      <w:r w:rsidRPr="00813BA0">
        <w:rPr>
          <w:rFonts w:ascii="Calibri" w:hAnsi="Calibri" w:cs="Calibri"/>
        </w:rPr>
        <w:t xml:space="preserve">are </w:t>
      </w:r>
      <w:r>
        <w:rPr>
          <w:rFonts w:ascii="Calibri" w:hAnsi="Calibri" w:cs="Calibri"/>
        </w:rPr>
        <w:t xml:space="preserve">members of </w:t>
      </w:r>
      <w:r w:rsidRPr="00813BA0">
        <w:rPr>
          <w:rFonts w:ascii="Calibri" w:hAnsi="Calibri" w:cs="Calibri"/>
        </w:rPr>
        <w:t>one</w:t>
      </w:r>
      <w:r>
        <w:rPr>
          <w:rFonts w:ascii="Calibri" w:hAnsi="Calibri" w:cs="Calibri"/>
        </w:rPr>
        <w:t xml:space="preserve"> of the five colleges (Lady Eaton, Champlain, Otonabee, Gzowski and Traill). Each </w:t>
      </w:r>
      <w:r w:rsidRPr="00813BA0">
        <w:rPr>
          <w:rFonts w:ascii="Calibri" w:hAnsi="Calibri" w:cs="Calibri"/>
        </w:rPr>
        <w:t xml:space="preserve">college </w:t>
      </w:r>
      <w:r>
        <w:rPr>
          <w:rFonts w:ascii="Calibri" w:hAnsi="Calibri" w:cs="Calibri"/>
        </w:rPr>
        <w:t xml:space="preserve">combines </w:t>
      </w:r>
      <w:r w:rsidRPr="00813BA0">
        <w:rPr>
          <w:rFonts w:ascii="Calibri" w:hAnsi="Calibri" w:cs="Calibri"/>
        </w:rPr>
        <w:t>a unique blend of traditions, events, workshops, places to hang</w:t>
      </w:r>
      <w:r>
        <w:rPr>
          <w:rFonts w:ascii="Calibri" w:hAnsi="Calibri" w:cs="Calibri"/>
        </w:rPr>
        <w:t xml:space="preserve"> </w:t>
      </w:r>
      <w:r w:rsidRPr="00813BA0">
        <w:rPr>
          <w:rFonts w:ascii="Calibri" w:hAnsi="Calibri" w:cs="Calibri"/>
        </w:rPr>
        <w:t>out and support services</w:t>
      </w:r>
      <w:r>
        <w:rPr>
          <w:rFonts w:ascii="Calibri" w:hAnsi="Calibri" w:cs="Calibri"/>
        </w:rPr>
        <w:t xml:space="preserve"> —</w:t>
      </w:r>
      <w:r w:rsidRPr="00813BA0">
        <w:rPr>
          <w:rFonts w:ascii="Calibri" w:hAnsi="Calibri" w:cs="Calibri"/>
        </w:rPr>
        <w:t xml:space="preserve"> all designed to help </w:t>
      </w:r>
      <w:r>
        <w:rPr>
          <w:rFonts w:ascii="Calibri" w:hAnsi="Calibri" w:cs="Calibri"/>
        </w:rPr>
        <w:t xml:space="preserve">students </w:t>
      </w:r>
      <w:r w:rsidRPr="00813BA0">
        <w:rPr>
          <w:rFonts w:ascii="Calibri" w:hAnsi="Calibri" w:cs="Calibri"/>
        </w:rPr>
        <w:t>experience a sense of belonging.</w:t>
      </w:r>
      <w:r>
        <w:rPr>
          <w:rFonts w:ascii="Calibri" w:hAnsi="Calibri" w:cs="Calibri"/>
        </w:rPr>
        <w:t xml:space="preserve"> The colleges function as </w:t>
      </w:r>
      <w:r w:rsidRPr="00813BA0">
        <w:rPr>
          <w:rFonts w:ascii="Calibri" w:hAnsi="Calibri" w:cs="Calibri"/>
        </w:rPr>
        <w:t xml:space="preserve">communities that promote learning, embrace diversity and lead to </w:t>
      </w:r>
      <w:r>
        <w:rPr>
          <w:rFonts w:ascii="Calibri" w:hAnsi="Calibri" w:cs="Calibri"/>
        </w:rPr>
        <w:t xml:space="preserve">lasting </w:t>
      </w:r>
      <w:r w:rsidRPr="00813BA0">
        <w:rPr>
          <w:rFonts w:ascii="Calibri" w:hAnsi="Calibri" w:cs="Calibri"/>
        </w:rPr>
        <w:t xml:space="preserve">friendships. </w:t>
      </w:r>
      <w:r>
        <w:rPr>
          <w:rFonts w:ascii="Calibri" w:hAnsi="Calibri" w:cs="Calibri"/>
        </w:rPr>
        <w:t xml:space="preserve">They provide student services, </w:t>
      </w:r>
      <w:r w:rsidRPr="00813BA0">
        <w:rPr>
          <w:rFonts w:ascii="Calibri" w:hAnsi="Calibri" w:cs="Calibri"/>
        </w:rPr>
        <w:t xml:space="preserve">classrooms, lounges, faculty offices, dining facilities </w:t>
      </w:r>
      <w:r>
        <w:rPr>
          <w:rFonts w:ascii="Calibri" w:hAnsi="Calibri" w:cs="Calibri"/>
        </w:rPr>
        <w:t xml:space="preserve">and </w:t>
      </w:r>
      <w:r w:rsidRPr="00813BA0">
        <w:rPr>
          <w:rFonts w:ascii="Calibri" w:hAnsi="Calibri" w:cs="Calibri"/>
        </w:rPr>
        <w:t>residences</w:t>
      </w:r>
      <w:r>
        <w:rPr>
          <w:rFonts w:ascii="Calibri" w:hAnsi="Calibri" w:cs="Calibri"/>
        </w:rPr>
        <w:t xml:space="preserve"> in ways that encourage </w:t>
      </w:r>
      <w:r w:rsidRPr="00813BA0">
        <w:rPr>
          <w:rFonts w:ascii="Calibri" w:hAnsi="Calibri" w:cs="Calibri"/>
        </w:rPr>
        <w:t xml:space="preserve">students </w:t>
      </w:r>
      <w:r>
        <w:rPr>
          <w:rFonts w:ascii="Calibri" w:hAnsi="Calibri" w:cs="Calibri"/>
        </w:rPr>
        <w:t>to</w:t>
      </w:r>
      <w:r w:rsidRPr="00813BA0">
        <w:rPr>
          <w:rFonts w:ascii="Calibri" w:hAnsi="Calibri" w:cs="Calibri"/>
        </w:rPr>
        <w:t xml:space="preserve"> make meaningful connections </w:t>
      </w:r>
      <w:r>
        <w:rPr>
          <w:rFonts w:ascii="Calibri" w:hAnsi="Calibri" w:cs="Calibri"/>
        </w:rPr>
        <w:t xml:space="preserve">with </w:t>
      </w:r>
      <w:r w:rsidRPr="00813BA0">
        <w:rPr>
          <w:rFonts w:ascii="Calibri" w:hAnsi="Calibri" w:cs="Calibri"/>
        </w:rPr>
        <w:t xml:space="preserve">each other and with </w:t>
      </w:r>
      <w:r>
        <w:rPr>
          <w:rFonts w:ascii="Calibri" w:hAnsi="Calibri" w:cs="Calibri"/>
        </w:rPr>
        <w:t xml:space="preserve">Trent </w:t>
      </w:r>
      <w:r w:rsidRPr="00813BA0">
        <w:rPr>
          <w:rFonts w:ascii="Calibri" w:hAnsi="Calibri" w:cs="Calibri"/>
        </w:rPr>
        <w:t>professors and staff.</w:t>
      </w:r>
      <w:r>
        <w:rPr>
          <w:rFonts w:ascii="Calibri" w:hAnsi="Calibri" w:cs="Calibri"/>
        </w:rPr>
        <w:t xml:space="preserve"> </w:t>
      </w:r>
    </w:p>
    <w:p w14:paraId="6A7C5640" w14:textId="77777777" w:rsidR="000D6F8A" w:rsidRDefault="000D6F8A" w:rsidP="000D6F8A">
      <w:pPr>
        <w:rPr>
          <w:rFonts w:ascii="Calibri" w:hAnsi="Calibri" w:cs="Calibri"/>
        </w:rPr>
      </w:pPr>
      <w:r>
        <w:rPr>
          <w:rFonts w:ascii="Calibri" w:hAnsi="Calibri" w:cs="Calibri"/>
        </w:rPr>
        <w:t>The success of Trent’s approach to student experience is evident in the r</w:t>
      </w:r>
      <w:r w:rsidRPr="00A13C36">
        <w:rPr>
          <w:rFonts w:ascii="Calibri" w:hAnsi="Calibri" w:cs="Calibri"/>
        </w:rPr>
        <w:t xml:space="preserve">esults </w:t>
      </w:r>
      <w:r>
        <w:rPr>
          <w:rFonts w:ascii="Calibri" w:hAnsi="Calibri" w:cs="Calibri"/>
        </w:rPr>
        <w:t>o</w:t>
      </w:r>
      <w:r w:rsidRPr="00A13C36">
        <w:rPr>
          <w:rFonts w:ascii="Calibri" w:hAnsi="Calibri" w:cs="Calibri"/>
        </w:rPr>
        <w:t>f</w:t>
      </w:r>
      <w:r>
        <w:rPr>
          <w:rFonts w:ascii="Calibri" w:hAnsi="Calibri" w:cs="Calibri"/>
        </w:rPr>
        <w:t xml:space="preserve"> </w:t>
      </w:r>
      <w:r w:rsidRPr="00A13C36">
        <w:rPr>
          <w:rFonts w:ascii="Calibri" w:hAnsi="Calibri" w:cs="Calibri"/>
        </w:rPr>
        <w:t>the National Survey of Student Engagement (NSSE)</w:t>
      </w:r>
      <w:r>
        <w:rPr>
          <w:rFonts w:ascii="Calibri" w:hAnsi="Calibri" w:cs="Calibri"/>
        </w:rPr>
        <w:t xml:space="preserve">. In </w:t>
      </w:r>
      <w:r w:rsidRPr="00A13C36">
        <w:rPr>
          <w:rFonts w:ascii="Calibri" w:hAnsi="Calibri" w:cs="Calibri"/>
        </w:rPr>
        <w:t xml:space="preserve">2014 (the last Ontario consortium year), Trent </w:t>
      </w:r>
      <w:r>
        <w:rPr>
          <w:rFonts w:ascii="Calibri" w:hAnsi="Calibri" w:cs="Calibri"/>
        </w:rPr>
        <w:t xml:space="preserve">achieved </w:t>
      </w:r>
      <w:r w:rsidRPr="00A13C36">
        <w:rPr>
          <w:rFonts w:ascii="Calibri" w:hAnsi="Calibri" w:cs="Calibri"/>
        </w:rPr>
        <w:t xml:space="preserve">similar or </w:t>
      </w:r>
      <w:r>
        <w:rPr>
          <w:rFonts w:ascii="Calibri" w:hAnsi="Calibri" w:cs="Calibri"/>
        </w:rPr>
        <w:t xml:space="preserve">higher scores than the </w:t>
      </w:r>
      <w:r w:rsidRPr="00A13C36">
        <w:rPr>
          <w:rFonts w:ascii="Calibri" w:hAnsi="Calibri" w:cs="Calibri"/>
        </w:rPr>
        <w:t xml:space="preserve">Ontario average in </w:t>
      </w:r>
      <w:r>
        <w:rPr>
          <w:rFonts w:ascii="Calibri" w:hAnsi="Calibri" w:cs="Calibri"/>
        </w:rPr>
        <w:t xml:space="preserve">eight out of ten </w:t>
      </w:r>
      <w:r w:rsidRPr="00A13C36">
        <w:rPr>
          <w:rFonts w:ascii="Calibri" w:hAnsi="Calibri" w:cs="Calibri"/>
        </w:rPr>
        <w:t xml:space="preserve">first-year engagement indicators and </w:t>
      </w:r>
      <w:r>
        <w:rPr>
          <w:rFonts w:ascii="Calibri" w:hAnsi="Calibri" w:cs="Calibri"/>
        </w:rPr>
        <w:t>nine out of ten</w:t>
      </w:r>
      <w:r w:rsidRPr="00A13C36">
        <w:rPr>
          <w:rFonts w:ascii="Calibri" w:hAnsi="Calibri" w:cs="Calibri"/>
        </w:rPr>
        <w:t xml:space="preserve"> senior engagement indicators.</w:t>
      </w:r>
      <w:r>
        <w:rPr>
          <w:rFonts w:ascii="Calibri" w:hAnsi="Calibri" w:cs="Calibri"/>
        </w:rPr>
        <w:t xml:space="preserve"> T</w:t>
      </w:r>
      <w:r w:rsidRPr="00A13C36">
        <w:rPr>
          <w:rFonts w:ascii="Calibri" w:hAnsi="Calibri" w:cs="Calibri"/>
        </w:rPr>
        <w:t xml:space="preserve">he results </w:t>
      </w:r>
      <w:r>
        <w:rPr>
          <w:rFonts w:ascii="Calibri" w:hAnsi="Calibri" w:cs="Calibri"/>
        </w:rPr>
        <w:t xml:space="preserve">of </w:t>
      </w:r>
      <w:r w:rsidRPr="00A13C36">
        <w:rPr>
          <w:rFonts w:ascii="Calibri" w:hAnsi="Calibri" w:cs="Calibri"/>
        </w:rPr>
        <w:t xml:space="preserve">the </w:t>
      </w:r>
      <w:r>
        <w:rPr>
          <w:rFonts w:ascii="Calibri" w:hAnsi="Calibri" w:cs="Calibri"/>
        </w:rPr>
        <w:t xml:space="preserve">Canadian </w:t>
      </w:r>
      <w:r w:rsidRPr="00A13C36">
        <w:rPr>
          <w:rFonts w:ascii="Calibri" w:hAnsi="Calibri" w:cs="Calibri"/>
        </w:rPr>
        <w:t xml:space="preserve">Graduate and Professional Student Survey </w:t>
      </w:r>
      <w:r>
        <w:rPr>
          <w:rFonts w:ascii="Calibri" w:hAnsi="Calibri" w:cs="Calibri"/>
        </w:rPr>
        <w:t>(CGPSS) are similar</w:t>
      </w:r>
      <w:r w:rsidRPr="00A13C36">
        <w:rPr>
          <w:rFonts w:ascii="Calibri" w:hAnsi="Calibri" w:cs="Calibri"/>
        </w:rPr>
        <w:t>, with students rating the quality of Trent's overall experience above the Ontario average.</w:t>
      </w:r>
    </w:p>
    <w:p w14:paraId="3F05B708" w14:textId="77777777" w:rsidR="00B73C01" w:rsidRDefault="00B73C01" w:rsidP="00B73C01"/>
    <w:p w14:paraId="594B8951" w14:textId="77777777" w:rsidR="00B73C01" w:rsidRDefault="00B73C01" w:rsidP="00ED423E">
      <w:pPr>
        <w:pStyle w:val="Heading2"/>
      </w:pPr>
      <w:r w:rsidRPr="00AD670F">
        <w:t xml:space="preserve">Examples of Institutional Initiatives </w:t>
      </w:r>
    </w:p>
    <w:p w14:paraId="41DFD958" w14:textId="77777777" w:rsidR="000D6F8A" w:rsidRPr="008306E2" w:rsidRDefault="000D6F8A" w:rsidP="000D6F8A">
      <w:pPr>
        <w:rPr>
          <w:rFonts w:ascii="Calibri" w:hAnsi="Calibri" w:cs="Calibri"/>
          <w:b/>
        </w:rPr>
      </w:pPr>
      <w:r w:rsidRPr="008306E2">
        <w:rPr>
          <w:rFonts w:ascii="Calibri" w:hAnsi="Calibri" w:cs="Calibri"/>
          <w:b/>
        </w:rPr>
        <w:t xml:space="preserve">Student Centre </w:t>
      </w:r>
    </w:p>
    <w:p w14:paraId="43A1D48B" w14:textId="77777777" w:rsidR="000D6F8A" w:rsidRDefault="000D6F8A" w:rsidP="000D6F8A">
      <w:pPr>
        <w:rPr>
          <w:rFonts w:ascii="Calibri" w:hAnsi="Calibri" w:cs="Calibri"/>
        </w:rPr>
      </w:pPr>
      <w:r w:rsidRPr="009C1D7F">
        <w:rPr>
          <w:rFonts w:ascii="Calibri" w:hAnsi="Calibri" w:cs="Calibri"/>
        </w:rPr>
        <w:t>In partnership with the Trent Central Student Association, Tr</w:t>
      </w:r>
      <w:r>
        <w:rPr>
          <w:rFonts w:ascii="Calibri" w:hAnsi="Calibri" w:cs="Calibri"/>
        </w:rPr>
        <w:t>ent University is building a $16</w:t>
      </w:r>
      <w:r w:rsidRPr="009C1D7F">
        <w:rPr>
          <w:rFonts w:ascii="Calibri" w:hAnsi="Calibri" w:cs="Calibri"/>
        </w:rPr>
        <w:t xml:space="preserve"> million Student Centre</w:t>
      </w:r>
      <w:r>
        <w:rPr>
          <w:rFonts w:ascii="Calibri" w:hAnsi="Calibri" w:cs="Calibri"/>
        </w:rPr>
        <w:t>,</w:t>
      </w:r>
      <w:r w:rsidRPr="009C1D7F">
        <w:rPr>
          <w:rFonts w:ascii="Calibri" w:hAnsi="Calibri" w:cs="Calibri"/>
        </w:rPr>
        <w:t xml:space="preserve"> which will open in the </w:t>
      </w:r>
      <w:r>
        <w:rPr>
          <w:rFonts w:ascii="Calibri" w:hAnsi="Calibri" w:cs="Calibri"/>
        </w:rPr>
        <w:t>fall</w:t>
      </w:r>
      <w:r w:rsidRPr="009C1D7F">
        <w:rPr>
          <w:rFonts w:ascii="Calibri" w:hAnsi="Calibri" w:cs="Calibri"/>
        </w:rPr>
        <w:t xml:space="preserve"> of 2017. It is designed to provide more space for student activities of all </w:t>
      </w:r>
      <w:r>
        <w:rPr>
          <w:rFonts w:ascii="Calibri" w:hAnsi="Calibri" w:cs="Calibri"/>
        </w:rPr>
        <w:t>kinds</w:t>
      </w:r>
      <w:r w:rsidRPr="009C1D7F">
        <w:rPr>
          <w:rFonts w:ascii="Calibri" w:hAnsi="Calibri" w:cs="Calibri"/>
        </w:rPr>
        <w:t xml:space="preserve"> (social space, study space and space for student groups on campus) and will significantly enhance </w:t>
      </w:r>
      <w:r>
        <w:rPr>
          <w:rFonts w:ascii="Calibri" w:hAnsi="Calibri" w:cs="Calibri"/>
        </w:rPr>
        <w:t xml:space="preserve">the </w:t>
      </w:r>
      <w:r w:rsidRPr="009C1D7F">
        <w:rPr>
          <w:rFonts w:ascii="Calibri" w:hAnsi="Calibri" w:cs="Calibri"/>
        </w:rPr>
        <w:t>student experience at Trent.</w:t>
      </w:r>
    </w:p>
    <w:p w14:paraId="3263AE97" w14:textId="77777777" w:rsidR="000D6F8A" w:rsidRPr="008306E2" w:rsidRDefault="000D6F8A" w:rsidP="000D6F8A">
      <w:pPr>
        <w:rPr>
          <w:rFonts w:ascii="Calibri" w:hAnsi="Calibri" w:cs="Calibri"/>
          <w:b/>
        </w:rPr>
      </w:pPr>
      <w:r w:rsidRPr="008306E2">
        <w:rPr>
          <w:rFonts w:ascii="Calibri" w:hAnsi="Calibri" w:cs="Calibri"/>
          <w:b/>
        </w:rPr>
        <w:t>The First Peoples House of Learning</w:t>
      </w:r>
    </w:p>
    <w:p w14:paraId="352DA562" w14:textId="77777777" w:rsidR="000D6F8A" w:rsidRPr="000313B4" w:rsidRDefault="000D6F8A" w:rsidP="000D6F8A">
      <w:r w:rsidRPr="008306E2">
        <w:rPr>
          <w:rFonts w:ascii="Calibri" w:hAnsi="Calibri" w:cs="Calibri"/>
          <w:i/>
        </w:rPr>
        <w:t xml:space="preserve"> </w:t>
      </w:r>
      <w:r w:rsidRPr="008306E2">
        <w:rPr>
          <w:rFonts w:ascii="Calibri" w:hAnsi="Calibri" w:cs="Calibri"/>
        </w:rPr>
        <w:t>The F</w:t>
      </w:r>
      <w:r>
        <w:rPr>
          <w:rFonts w:ascii="Calibri" w:hAnsi="Calibri" w:cs="Calibri"/>
        </w:rPr>
        <w:t xml:space="preserve">irst </w:t>
      </w:r>
      <w:r w:rsidRPr="008306E2">
        <w:rPr>
          <w:rFonts w:ascii="Calibri" w:hAnsi="Calibri" w:cs="Calibri"/>
        </w:rPr>
        <w:t>P</w:t>
      </w:r>
      <w:r>
        <w:rPr>
          <w:rFonts w:ascii="Calibri" w:hAnsi="Calibri" w:cs="Calibri"/>
        </w:rPr>
        <w:t xml:space="preserve">eoples </w:t>
      </w:r>
      <w:r w:rsidRPr="008306E2">
        <w:rPr>
          <w:rFonts w:ascii="Calibri" w:hAnsi="Calibri" w:cs="Calibri"/>
        </w:rPr>
        <w:t>H</w:t>
      </w:r>
      <w:r>
        <w:rPr>
          <w:rFonts w:ascii="Calibri" w:hAnsi="Calibri" w:cs="Calibri"/>
        </w:rPr>
        <w:t xml:space="preserve">ouse of </w:t>
      </w:r>
      <w:r w:rsidRPr="008306E2">
        <w:rPr>
          <w:rFonts w:ascii="Calibri" w:hAnsi="Calibri" w:cs="Calibri"/>
        </w:rPr>
        <w:t>L</w:t>
      </w:r>
      <w:r>
        <w:rPr>
          <w:rFonts w:ascii="Calibri" w:hAnsi="Calibri" w:cs="Calibri"/>
        </w:rPr>
        <w:t>earning</w:t>
      </w:r>
      <w:r w:rsidRPr="008306E2">
        <w:rPr>
          <w:rFonts w:ascii="Calibri" w:hAnsi="Calibri" w:cs="Calibri"/>
        </w:rPr>
        <w:t xml:space="preserve"> provides support for </w:t>
      </w:r>
      <w:r>
        <w:rPr>
          <w:rFonts w:ascii="Calibri" w:hAnsi="Calibri" w:cs="Calibri"/>
        </w:rPr>
        <w:t>I</w:t>
      </w:r>
      <w:r w:rsidRPr="008306E2">
        <w:rPr>
          <w:rFonts w:ascii="Calibri" w:hAnsi="Calibri" w:cs="Calibri"/>
        </w:rPr>
        <w:t xml:space="preserve">ndigenous students attending Trent. In 2015-16, with assistance from </w:t>
      </w:r>
      <w:r>
        <w:rPr>
          <w:rFonts w:ascii="Calibri" w:hAnsi="Calibri" w:cs="Calibri"/>
        </w:rPr>
        <w:t>Ontario’s Mental Health Innovation Fund, Trent</w:t>
      </w:r>
      <w:r w:rsidRPr="008306E2">
        <w:rPr>
          <w:rFonts w:ascii="Calibri" w:hAnsi="Calibri" w:cs="Calibri"/>
        </w:rPr>
        <w:t xml:space="preserve"> developed the Biishkaa student transition program, which was expanded to Fleming College in the </w:t>
      </w:r>
      <w:r>
        <w:rPr>
          <w:rFonts w:ascii="Calibri" w:hAnsi="Calibri" w:cs="Calibri"/>
        </w:rPr>
        <w:t>2016-17</w:t>
      </w:r>
      <w:r w:rsidRPr="008306E2">
        <w:rPr>
          <w:rFonts w:ascii="Calibri" w:hAnsi="Calibri" w:cs="Calibri"/>
        </w:rPr>
        <w:t xml:space="preserve"> academic year. The program served students from diverse backgrounds</w:t>
      </w:r>
      <w:r>
        <w:rPr>
          <w:rFonts w:ascii="Calibri" w:hAnsi="Calibri" w:cs="Calibri"/>
        </w:rPr>
        <w:t xml:space="preserve">, including: </w:t>
      </w:r>
      <w:r w:rsidRPr="008306E2">
        <w:rPr>
          <w:rFonts w:ascii="Calibri" w:hAnsi="Calibri" w:cs="Calibri"/>
        </w:rPr>
        <w:t>mature students; students who lacked high school academic credits; and some graduates of Indigenous</w:t>
      </w:r>
      <w:r>
        <w:rPr>
          <w:rFonts w:ascii="Calibri" w:hAnsi="Calibri" w:cs="Calibri"/>
        </w:rPr>
        <w:t>-</w:t>
      </w:r>
      <w:r w:rsidRPr="008306E2">
        <w:rPr>
          <w:rFonts w:ascii="Calibri" w:hAnsi="Calibri" w:cs="Calibri"/>
        </w:rPr>
        <w:t xml:space="preserve">language immersion schools. </w:t>
      </w:r>
      <w:r>
        <w:rPr>
          <w:rFonts w:ascii="Calibri" w:hAnsi="Calibri" w:cs="Calibri"/>
        </w:rPr>
        <w:t>In both years of the program a</w:t>
      </w:r>
      <w:r w:rsidRPr="008306E2">
        <w:rPr>
          <w:rFonts w:ascii="Calibri" w:hAnsi="Calibri" w:cs="Calibri"/>
        </w:rPr>
        <w:t>ll successfully continued to year two.</w:t>
      </w:r>
      <w:r>
        <w:rPr>
          <w:rFonts w:ascii="Calibri" w:hAnsi="Calibri" w:cs="Calibri"/>
        </w:rPr>
        <w:t xml:space="preserve"> </w:t>
      </w:r>
    </w:p>
    <w:p w14:paraId="332E61DD" w14:textId="77777777" w:rsidR="000D6F8A" w:rsidRPr="00B32BE0" w:rsidRDefault="000D6F8A" w:rsidP="000D6F8A">
      <w:pPr>
        <w:rPr>
          <w:rFonts w:ascii="Calibri" w:hAnsi="Calibri" w:cs="Calibri"/>
          <w:b/>
        </w:rPr>
      </w:pPr>
      <w:r w:rsidRPr="00B32BE0">
        <w:rPr>
          <w:rFonts w:ascii="Calibri" w:hAnsi="Calibri" w:cs="Calibri"/>
          <w:b/>
        </w:rPr>
        <w:t xml:space="preserve">Trent University Native Association (TUNA) </w:t>
      </w:r>
    </w:p>
    <w:p w14:paraId="156D3D25" w14:textId="77777777" w:rsidR="000D6F8A" w:rsidRPr="00E602B2" w:rsidRDefault="000D6F8A" w:rsidP="000D6F8A">
      <w:pPr>
        <w:rPr>
          <w:lang w:val="en-CA"/>
        </w:rPr>
      </w:pPr>
      <w:r w:rsidRPr="00D5128E">
        <w:rPr>
          <w:lang w:val="en-CA"/>
        </w:rPr>
        <w:t>TUNA is a student organization that encourages a good way of life (</w:t>
      </w:r>
      <w:r w:rsidRPr="006933C9">
        <w:rPr>
          <w:lang w:val="en-CA"/>
        </w:rPr>
        <w:t>Mino Bimaadiziwin</w:t>
      </w:r>
      <w:r w:rsidRPr="00D5128E">
        <w:rPr>
          <w:lang w:val="en-CA"/>
        </w:rPr>
        <w:t>) through cultural, social, academic and athletic activities. It organizes an annual pow</w:t>
      </w:r>
      <w:r>
        <w:rPr>
          <w:lang w:val="en-CA"/>
        </w:rPr>
        <w:t xml:space="preserve"> </w:t>
      </w:r>
      <w:r w:rsidRPr="00D5128E">
        <w:rPr>
          <w:lang w:val="en-CA"/>
        </w:rPr>
        <w:t>wow and regular potlucks, support</w:t>
      </w:r>
      <w:r>
        <w:rPr>
          <w:lang w:val="en-CA"/>
        </w:rPr>
        <w:t>s</w:t>
      </w:r>
      <w:r w:rsidRPr="00D5128E">
        <w:rPr>
          <w:lang w:val="en-CA"/>
        </w:rPr>
        <w:t xml:space="preserve"> the appropriate use of the Tipi</w:t>
      </w:r>
      <w:r>
        <w:rPr>
          <w:lang w:val="en-CA"/>
        </w:rPr>
        <w:t xml:space="preserve">, </w:t>
      </w:r>
      <w:r w:rsidRPr="00D5128E">
        <w:rPr>
          <w:lang w:val="en-CA"/>
        </w:rPr>
        <w:t>help</w:t>
      </w:r>
      <w:r>
        <w:rPr>
          <w:lang w:val="en-CA"/>
        </w:rPr>
        <w:t>s</w:t>
      </w:r>
      <w:r w:rsidRPr="00D5128E">
        <w:rPr>
          <w:lang w:val="en-CA"/>
        </w:rPr>
        <w:t xml:space="preserve"> provide fire-keepers, co-organiz</w:t>
      </w:r>
      <w:r>
        <w:rPr>
          <w:lang w:val="en-CA"/>
        </w:rPr>
        <w:t>es</w:t>
      </w:r>
      <w:r w:rsidRPr="00D5128E">
        <w:rPr>
          <w:lang w:val="en-CA"/>
        </w:rPr>
        <w:t xml:space="preserve"> the annual Elders’ Gathering and run</w:t>
      </w:r>
      <w:r>
        <w:rPr>
          <w:lang w:val="en-CA"/>
        </w:rPr>
        <w:t>s</w:t>
      </w:r>
      <w:r w:rsidRPr="00D5128E">
        <w:rPr>
          <w:lang w:val="en-CA"/>
        </w:rPr>
        <w:t xml:space="preserve"> events to build community among Indigenous students </w:t>
      </w:r>
      <w:r>
        <w:rPr>
          <w:lang w:val="en-CA"/>
        </w:rPr>
        <w:t>and</w:t>
      </w:r>
      <w:r w:rsidRPr="00D5128E">
        <w:rPr>
          <w:lang w:val="en-CA"/>
        </w:rPr>
        <w:t xml:space="preserve"> educate and raise awareness of Indigenous issues among the Trent community. </w:t>
      </w:r>
    </w:p>
    <w:p w14:paraId="1ACF7076" w14:textId="77777777" w:rsidR="000D6F8A" w:rsidRPr="0004447A" w:rsidRDefault="000D6F8A" w:rsidP="000D6F8A">
      <w:pPr>
        <w:rPr>
          <w:b/>
          <w:lang w:val="en-CA"/>
        </w:rPr>
      </w:pPr>
      <w:r w:rsidRPr="0004447A">
        <w:rPr>
          <w:b/>
          <w:lang w:val="en-CA"/>
        </w:rPr>
        <w:t xml:space="preserve">Trent Muslim Student Association (TMSA) </w:t>
      </w:r>
    </w:p>
    <w:p w14:paraId="231A254D" w14:textId="77777777" w:rsidR="000D6F8A" w:rsidRPr="00B21015" w:rsidRDefault="000D6F8A" w:rsidP="000D6F8A">
      <w:pPr>
        <w:rPr>
          <w:lang w:val="en-CA"/>
        </w:rPr>
      </w:pPr>
      <w:r w:rsidRPr="00B21015">
        <w:rPr>
          <w:lang w:val="en-CA"/>
        </w:rPr>
        <w:t xml:space="preserve">TMSA organizes an annual Islam Awareness Week and a series of events (which included, </w:t>
      </w:r>
      <w:r>
        <w:rPr>
          <w:lang w:val="en-CA"/>
        </w:rPr>
        <w:t>in 2017</w:t>
      </w:r>
      <w:r w:rsidRPr="00B21015">
        <w:rPr>
          <w:lang w:val="en-CA"/>
        </w:rPr>
        <w:t xml:space="preserve">, a reflection and prayer meeting following the Quebec mosque tragedy). </w:t>
      </w:r>
      <w:r>
        <w:rPr>
          <w:lang w:val="en-CA"/>
        </w:rPr>
        <w:t>It</w:t>
      </w:r>
      <w:r w:rsidRPr="00B21015">
        <w:rPr>
          <w:lang w:val="en-CA"/>
        </w:rPr>
        <w:t xml:space="preserve"> hold</w:t>
      </w:r>
      <w:r>
        <w:rPr>
          <w:lang w:val="en-CA"/>
        </w:rPr>
        <w:t>s</w:t>
      </w:r>
      <w:r w:rsidRPr="00B21015">
        <w:rPr>
          <w:lang w:val="en-CA"/>
        </w:rPr>
        <w:t xml:space="preserve"> an annual Eid dinner and other social events to bring together Muslim students and all interested members of the Trent community. </w:t>
      </w:r>
      <w:r>
        <w:rPr>
          <w:lang w:val="en-CA"/>
        </w:rPr>
        <w:t>Its</w:t>
      </w:r>
      <w:r w:rsidRPr="00B21015">
        <w:rPr>
          <w:lang w:val="en-CA"/>
        </w:rPr>
        <w:t xml:space="preserve"> charitable activities include Pink Hijab day to raise money for breast cancer research. </w:t>
      </w:r>
    </w:p>
    <w:p w14:paraId="3D15CAEC" w14:textId="77777777" w:rsidR="000D6F8A" w:rsidRPr="004D2E4F" w:rsidRDefault="000D6F8A" w:rsidP="000D6F8A">
      <w:pPr>
        <w:rPr>
          <w:b/>
          <w:lang w:val="en-CA"/>
        </w:rPr>
      </w:pPr>
      <w:r w:rsidRPr="004D2E4F">
        <w:rPr>
          <w:b/>
          <w:lang w:val="en-CA"/>
        </w:rPr>
        <w:t>The Trent International Student Association (TISA)</w:t>
      </w:r>
    </w:p>
    <w:p w14:paraId="0816924F" w14:textId="77777777" w:rsidR="000D6F8A" w:rsidRPr="008306E2" w:rsidRDefault="000D6F8A" w:rsidP="000D6F8A">
      <w:pPr>
        <w:rPr>
          <w:rFonts w:ascii="Calibri" w:hAnsi="Calibri" w:cs="Calibri"/>
        </w:rPr>
      </w:pPr>
      <w:r w:rsidRPr="008306E2">
        <w:rPr>
          <w:lang w:val="en-CA"/>
        </w:rPr>
        <w:t>TISA is the second</w:t>
      </w:r>
      <w:r>
        <w:rPr>
          <w:lang w:val="en-CA"/>
        </w:rPr>
        <w:t>-</w:t>
      </w:r>
      <w:r w:rsidRPr="008306E2">
        <w:rPr>
          <w:lang w:val="en-CA"/>
        </w:rPr>
        <w:t xml:space="preserve">largest student organization at Trent. </w:t>
      </w:r>
      <w:r>
        <w:rPr>
          <w:lang w:val="en-CA"/>
        </w:rPr>
        <w:t xml:space="preserve">Its members </w:t>
      </w:r>
      <w:r w:rsidRPr="008306E2">
        <w:rPr>
          <w:lang w:val="en-CA"/>
        </w:rPr>
        <w:t xml:space="preserve">bring international student concerns to staff in the Trent International </w:t>
      </w:r>
      <w:r>
        <w:rPr>
          <w:lang w:val="en-CA"/>
        </w:rPr>
        <w:t>O</w:t>
      </w:r>
      <w:r w:rsidRPr="008306E2">
        <w:rPr>
          <w:lang w:val="en-CA"/>
        </w:rPr>
        <w:t>ffice and allocate funds to smaller student groups. For almost two decades, TISA has organized Cultural Outreach, a showcase of Trent's international talent. This event is held in downtown Peterborough and serves to enhance the relationship between international students and the larger Peterborough community. Another initiative is the TISA Choir, an international chorus that sings at events on and off campus.</w:t>
      </w:r>
    </w:p>
    <w:p w14:paraId="64F79A9E" w14:textId="77777777" w:rsidR="000D6F8A" w:rsidRPr="00A53169" w:rsidRDefault="000D6F8A" w:rsidP="000D6F8A">
      <w:pPr>
        <w:rPr>
          <w:b/>
          <w:lang w:val="en-CA"/>
        </w:rPr>
      </w:pPr>
      <w:r w:rsidRPr="00A53169">
        <w:rPr>
          <w:b/>
          <w:lang w:val="en-CA"/>
        </w:rPr>
        <w:t xml:space="preserve">Trent Market Garden, Trent Vegetable Growers, and Trent Apiary </w:t>
      </w:r>
    </w:p>
    <w:p w14:paraId="09F388E7" w14:textId="77777777" w:rsidR="000D6F8A" w:rsidRPr="00E602B2" w:rsidRDefault="000D6F8A" w:rsidP="000D6F8A">
      <w:pPr>
        <w:rPr>
          <w:lang w:val="en-CA"/>
        </w:rPr>
      </w:pPr>
      <w:r w:rsidRPr="00D5128E">
        <w:rPr>
          <w:lang w:val="en-CA"/>
        </w:rPr>
        <w:t>Trent students are actively involved in a range of sustainable food</w:t>
      </w:r>
      <w:r>
        <w:rPr>
          <w:lang w:val="en-CA"/>
        </w:rPr>
        <w:t>-</w:t>
      </w:r>
      <w:r w:rsidRPr="00D5128E">
        <w:rPr>
          <w:lang w:val="en-CA"/>
        </w:rPr>
        <w:t>producing activities</w:t>
      </w:r>
      <w:r>
        <w:rPr>
          <w:lang w:val="en-CA"/>
        </w:rPr>
        <w:t>,</w:t>
      </w:r>
      <w:r w:rsidRPr="00D5128E">
        <w:rPr>
          <w:lang w:val="en-CA"/>
        </w:rPr>
        <w:t xml:space="preserve"> which take advantage of </w:t>
      </w:r>
      <w:r>
        <w:rPr>
          <w:lang w:val="en-CA"/>
        </w:rPr>
        <w:t>its</w:t>
      </w:r>
      <w:r w:rsidRPr="00D5128E">
        <w:rPr>
          <w:lang w:val="en-CA"/>
        </w:rPr>
        <w:t xml:space="preserve"> 1</w:t>
      </w:r>
      <w:r>
        <w:rPr>
          <w:lang w:val="en-CA"/>
        </w:rPr>
        <w:t>,</w:t>
      </w:r>
      <w:r w:rsidRPr="00D5128E">
        <w:rPr>
          <w:lang w:val="en-CA"/>
        </w:rPr>
        <w:t>500</w:t>
      </w:r>
      <w:r>
        <w:rPr>
          <w:lang w:val="en-CA"/>
        </w:rPr>
        <w:t>-</w:t>
      </w:r>
      <w:r w:rsidRPr="00D5128E">
        <w:rPr>
          <w:lang w:val="en-CA"/>
        </w:rPr>
        <w:t xml:space="preserve">acre campus and the expertise available at the </w:t>
      </w:r>
      <w:r>
        <w:rPr>
          <w:lang w:val="en-CA"/>
        </w:rPr>
        <w:t>U</w:t>
      </w:r>
      <w:r w:rsidRPr="00D5128E">
        <w:rPr>
          <w:lang w:val="en-CA"/>
        </w:rPr>
        <w:t>niversity</w:t>
      </w:r>
      <w:r>
        <w:rPr>
          <w:lang w:val="en-CA"/>
        </w:rPr>
        <w:t>, e.g., the Sustainable Agriculture program</w:t>
      </w:r>
      <w:r w:rsidRPr="00D5128E">
        <w:rPr>
          <w:lang w:val="en-CA"/>
        </w:rPr>
        <w:t>.</w:t>
      </w:r>
    </w:p>
    <w:p w14:paraId="5ED7AFCD" w14:textId="77777777" w:rsidR="000D6F8A" w:rsidRPr="00B04E66" w:rsidRDefault="000D6F8A" w:rsidP="000D6F8A">
      <w:pPr>
        <w:rPr>
          <w:b/>
          <w:iCs/>
        </w:rPr>
      </w:pPr>
      <w:r w:rsidRPr="00B04E66">
        <w:rPr>
          <w:b/>
          <w:iCs/>
        </w:rPr>
        <w:t xml:space="preserve">Living-learning Communities </w:t>
      </w:r>
    </w:p>
    <w:p w14:paraId="138039EC" w14:textId="77777777" w:rsidR="000D6F8A" w:rsidRPr="00D5128E" w:rsidRDefault="000D6F8A" w:rsidP="000D6F8A">
      <w:pPr>
        <w:rPr>
          <w:i/>
          <w:iCs/>
        </w:rPr>
      </w:pPr>
      <w:r>
        <w:t>A new living-learning community for Forensics students is being launched in the fall of 2017, joining eight other established living-learning communities. Assessment of the communities concludes that they provide a positive opportunity to be part of a focused community, with the opportunity to connect with faculty outside the classroom environment. In 2016, 100 per cent of respondents reported being satisfied with their living-learning community experience.</w:t>
      </w:r>
      <w:r w:rsidRPr="00D5128E">
        <w:rPr>
          <w:i/>
          <w:iCs/>
        </w:rPr>
        <w:t xml:space="preserve"> </w:t>
      </w:r>
    </w:p>
    <w:p w14:paraId="393ABC2C" w14:textId="77777777" w:rsidR="000D6F8A" w:rsidRPr="00DC7704" w:rsidRDefault="000D6F8A" w:rsidP="000D6F8A">
      <w:pPr>
        <w:rPr>
          <w:rFonts w:ascii="Calibri" w:hAnsi="Calibri" w:cs="Calibri"/>
          <w:b/>
        </w:rPr>
      </w:pPr>
      <w:r w:rsidRPr="00DC7704">
        <w:rPr>
          <w:rFonts w:ascii="Calibri" w:hAnsi="Calibri" w:cs="Calibri"/>
          <w:b/>
        </w:rPr>
        <w:t xml:space="preserve">Athletics </w:t>
      </w:r>
    </w:p>
    <w:p w14:paraId="1D51A89F" w14:textId="77777777" w:rsidR="000D6F8A" w:rsidRPr="000A725E" w:rsidRDefault="000D6F8A" w:rsidP="000D6F8A">
      <w:pPr>
        <w:rPr>
          <w:rFonts w:ascii="Calibri" w:hAnsi="Calibri" w:cs="Calibri"/>
        </w:rPr>
      </w:pPr>
      <w:r w:rsidRPr="00B04E66">
        <w:rPr>
          <w:rFonts w:ascii="Calibri" w:hAnsi="Calibri" w:cs="Calibri"/>
        </w:rPr>
        <w:t xml:space="preserve">Last year, Trent moved all </w:t>
      </w:r>
      <w:r>
        <w:rPr>
          <w:rFonts w:ascii="Calibri" w:hAnsi="Calibri" w:cs="Calibri"/>
        </w:rPr>
        <w:t xml:space="preserve">of </w:t>
      </w:r>
      <w:r w:rsidRPr="00B04E66">
        <w:rPr>
          <w:rFonts w:ascii="Calibri" w:hAnsi="Calibri" w:cs="Calibri"/>
        </w:rPr>
        <w:t xml:space="preserve">its varsity athletic teams into Ontario University Athletics to </w:t>
      </w:r>
      <w:r>
        <w:rPr>
          <w:rFonts w:ascii="Calibri" w:hAnsi="Calibri" w:cs="Calibri"/>
        </w:rPr>
        <w:t>provide</w:t>
      </w:r>
      <w:r w:rsidRPr="00B04E66">
        <w:rPr>
          <w:rFonts w:ascii="Calibri" w:hAnsi="Calibri" w:cs="Calibri"/>
        </w:rPr>
        <w:t xml:space="preserve"> </w:t>
      </w:r>
      <w:r>
        <w:rPr>
          <w:rFonts w:ascii="Calibri" w:hAnsi="Calibri" w:cs="Calibri"/>
        </w:rPr>
        <w:t>its</w:t>
      </w:r>
      <w:r w:rsidRPr="00B04E66">
        <w:rPr>
          <w:rFonts w:ascii="Calibri" w:hAnsi="Calibri" w:cs="Calibri"/>
        </w:rPr>
        <w:t xml:space="preserve"> students </w:t>
      </w:r>
      <w:r>
        <w:rPr>
          <w:rFonts w:ascii="Calibri" w:hAnsi="Calibri" w:cs="Calibri"/>
        </w:rPr>
        <w:t xml:space="preserve">with </w:t>
      </w:r>
      <w:r w:rsidRPr="00B04E66">
        <w:rPr>
          <w:rFonts w:ascii="Calibri" w:hAnsi="Calibri" w:cs="Calibri"/>
        </w:rPr>
        <w:t>access to this level of competition. Trent Durham</w:t>
      </w:r>
      <w:r>
        <w:rPr>
          <w:rFonts w:ascii="Calibri" w:hAnsi="Calibri" w:cs="Calibri"/>
        </w:rPr>
        <w:t xml:space="preserve"> GTA</w:t>
      </w:r>
      <w:r w:rsidRPr="00B04E66">
        <w:rPr>
          <w:rFonts w:ascii="Calibri" w:hAnsi="Calibri" w:cs="Calibri"/>
        </w:rPr>
        <w:t xml:space="preserve"> has provided students with the opportunity to participate in extramural sports</w:t>
      </w:r>
      <w:r>
        <w:rPr>
          <w:rFonts w:ascii="Calibri" w:hAnsi="Calibri" w:cs="Calibri"/>
        </w:rPr>
        <w:t>,</w:t>
      </w:r>
      <w:r w:rsidRPr="00B04E66">
        <w:rPr>
          <w:rFonts w:ascii="Calibri" w:hAnsi="Calibri" w:cs="Calibri"/>
        </w:rPr>
        <w:t xml:space="preserve"> initially in a mixed indoor soccer team. </w:t>
      </w:r>
    </w:p>
    <w:p w14:paraId="60BE9DEC" w14:textId="77777777" w:rsidR="000D6F8A" w:rsidRPr="000A725E" w:rsidRDefault="000D6F8A" w:rsidP="000D6F8A">
      <w:pPr>
        <w:rPr>
          <w:b/>
          <w:lang w:val="en-CA"/>
        </w:rPr>
      </w:pPr>
      <w:r w:rsidRPr="000A725E">
        <w:rPr>
          <w:b/>
          <w:lang w:val="en-CA"/>
        </w:rPr>
        <w:t xml:space="preserve">Peer Support Programs </w:t>
      </w:r>
    </w:p>
    <w:p w14:paraId="0BBD4F7D" w14:textId="77777777" w:rsidR="000D6F8A" w:rsidRPr="000A725E" w:rsidRDefault="000D6F8A" w:rsidP="000D6F8A">
      <w:pPr>
        <w:rPr>
          <w:i/>
          <w:iCs/>
        </w:rPr>
      </w:pPr>
      <w:r w:rsidRPr="00D5128E">
        <w:rPr>
          <w:lang w:val="en-CA"/>
        </w:rPr>
        <w:t xml:space="preserve">The program, which is offered by student staff and volunteers, provides peer support to </w:t>
      </w:r>
      <w:r>
        <w:rPr>
          <w:lang w:val="en-CA"/>
        </w:rPr>
        <w:t>f</w:t>
      </w:r>
      <w:r w:rsidRPr="00D5128E">
        <w:rPr>
          <w:lang w:val="en-CA"/>
        </w:rPr>
        <w:t>irst</w:t>
      </w:r>
      <w:r>
        <w:rPr>
          <w:lang w:val="en-CA"/>
        </w:rPr>
        <w:t>-g</w:t>
      </w:r>
      <w:r w:rsidRPr="00D5128E">
        <w:rPr>
          <w:lang w:val="en-CA"/>
        </w:rPr>
        <w:t>eneration students, Indigenous students, students struggling academically, students in residence</w:t>
      </w:r>
      <w:r>
        <w:rPr>
          <w:lang w:val="en-CA"/>
        </w:rPr>
        <w:t xml:space="preserve"> and </w:t>
      </w:r>
      <w:r w:rsidRPr="00D5128E">
        <w:rPr>
          <w:lang w:val="en-CA"/>
        </w:rPr>
        <w:t>LGBTQ students</w:t>
      </w:r>
      <w:r>
        <w:rPr>
          <w:lang w:val="en-CA"/>
        </w:rPr>
        <w:t xml:space="preserve">. It </w:t>
      </w:r>
      <w:r w:rsidRPr="00D5128E">
        <w:rPr>
          <w:lang w:val="en-CA"/>
        </w:rPr>
        <w:t xml:space="preserve">also offers peer educational programming </w:t>
      </w:r>
      <w:r>
        <w:rPr>
          <w:lang w:val="en-CA"/>
        </w:rPr>
        <w:t>on such issues</w:t>
      </w:r>
      <w:r w:rsidRPr="00D5128E">
        <w:rPr>
          <w:lang w:val="en-CA"/>
        </w:rPr>
        <w:t xml:space="preserve"> as wellness education and sexual assault prevention.</w:t>
      </w:r>
    </w:p>
    <w:p w14:paraId="789F1F56" w14:textId="77777777" w:rsidR="000D6F8A" w:rsidRPr="000A725E" w:rsidRDefault="000D6F8A" w:rsidP="000D6F8A">
      <w:pPr>
        <w:rPr>
          <w:b/>
          <w:lang w:val="en-CA"/>
        </w:rPr>
      </w:pPr>
      <w:r w:rsidRPr="000A725E">
        <w:rPr>
          <w:b/>
          <w:lang w:val="en-CA"/>
        </w:rPr>
        <w:t xml:space="preserve">Trent Research and Innovation Park (TRIP) </w:t>
      </w:r>
    </w:p>
    <w:p w14:paraId="0B82178A" w14:textId="77777777" w:rsidR="000D6F8A" w:rsidRDefault="000D6F8A" w:rsidP="000D6F8A">
      <w:pPr>
        <w:rPr>
          <w:lang w:val="en-CA"/>
        </w:rPr>
      </w:pPr>
      <w:r w:rsidRPr="00D5128E">
        <w:rPr>
          <w:lang w:val="en-CA"/>
        </w:rPr>
        <w:t xml:space="preserve">As an element of the development of its Endowment Lands, the Trent Board </w:t>
      </w:r>
      <w:r>
        <w:rPr>
          <w:lang w:val="en-CA"/>
        </w:rPr>
        <w:t xml:space="preserve">of Governors </w:t>
      </w:r>
      <w:r w:rsidRPr="00D5128E">
        <w:rPr>
          <w:lang w:val="en-CA"/>
        </w:rPr>
        <w:t>has endorsed a proposal to create a Research and Innovation Park</w:t>
      </w:r>
      <w:r>
        <w:rPr>
          <w:lang w:val="en-CA"/>
        </w:rPr>
        <w:t>,</w:t>
      </w:r>
      <w:r w:rsidRPr="00D5128E">
        <w:rPr>
          <w:lang w:val="en-CA"/>
        </w:rPr>
        <w:t xml:space="preserve"> which w</w:t>
      </w:r>
      <w:r>
        <w:rPr>
          <w:lang w:val="en-CA"/>
        </w:rPr>
        <w:t>ould</w:t>
      </w:r>
      <w:r w:rsidRPr="00D5128E">
        <w:rPr>
          <w:lang w:val="en-CA"/>
        </w:rPr>
        <w:t xml:space="preserve"> be linked to on-campus</w:t>
      </w:r>
      <w:r w:rsidRPr="00E602B2">
        <w:rPr>
          <w:lang w:val="en-CA"/>
        </w:rPr>
        <w:t xml:space="preserve"> research initiatives, including staff and student graduate and undergraduate engagement in research and its practical application.  </w:t>
      </w:r>
    </w:p>
    <w:p w14:paraId="18CDAED3" w14:textId="77777777" w:rsidR="000D6F8A" w:rsidRPr="003A4A16" w:rsidRDefault="000D6F8A" w:rsidP="000D6F8A">
      <w:pPr>
        <w:rPr>
          <w:b/>
          <w:iCs/>
        </w:rPr>
      </w:pPr>
      <w:r>
        <w:rPr>
          <w:b/>
          <w:iCs/>
        </w:rPr>
        <w:t xml:space="preserve">Residential College at Durham </w:t>
      </w:r>
      <w:r w:rsidRPr="003A4A16">
        <w:rPr>
          <w:b/>
          <w:iCs/>
        </w:rPr>
        <w:t xml:space="preserve">GTA  </w:t>
      </w:r>
    </w:p>
    <w:p w14:paraId="25B89624" w14:textId="77777777" w:rsidR="000D6F8A" w:rsidRPr="00D5128E" w:rsidRDefault="000D6F8A" w:rsidP="000D6F8A">
      <w:pPr>
        <w:rPr>
          <w:i/>
          <w:iCs/>
        </w:rPr>
      </w:pPr>
      <w:r w:rsidRPr="00D5128E">
        <w:rPr>
          <w:iCs/>
        </w:rPr>
        <w:t>Plans are underway to expand the GTA campus (mainly a commuter campus) with a residential college building located just west of the current building</w:t>
      </w:r>
      <w:r>
        <w:rPr>
          <w:iCs/>
        </w:rPr>
        <w:t xml:space="preserve"> on 99 Thornton Road South</w:t>
      </w:r>
      <w:r w:rsidRPr="00D5128E">
        <w:rPr>
          <w:iCs/>
        </w:rPr>
        <w:t xml:space="preserve">.  </w:t>
      </w:r>
    </w:p>
    <w:p w14:paraId="3564B37A" w14:textId="77777777" w:rsidR="000D6F8A" w:rsidRPr="000A725E" w:rsidRDefault="000D6F8A" w:rsidP="000D6F8A">
      <w:pPr>
        <w:rPr>
          <w:b/>
          <w:iCs/>
        </w:rPr>
      </w:pPr>
      <w:r>
        <w:rPr>
          <w:b/>
          <w:iCs/>
        </w:rPr>
        <w:t xml:space="preserve">Academic Skills, Durham </w:t>
      </w:r>
      <w:r w:rsidRPr="000A725E">
        <w:rPr>
          <w:b/>
          <w:iCs/>
        </w:rPr>
        <w:t>GTA</w:t>
      </w:r>
    </w:p>
    <w:p w14:paraId="73462556" w14:textId="77777777" w:rsidR="000D6F8A" w:rsidRPr="000A725E" w:rsidRDefault="000D6F8A" w:rsidP="000D6F8A">
      <w:pPr>
        <w:rPr>
          <w:i/>
          <w:iCs/>
        </w:rPr>
      </w:pPr>
      <w:r>
        <w:t xml:space="preserve">At the Durham GTA Campus, </w:t>
      </w:r>
      <w:r w:rsidRPr="00085BF6">
        <w:t xml:space="preserve">half the entering students for 2016-2017 </w:t>
      </w:r>
      <w:r>
        <w:t>were</w:t>
      </w:r>
      <w:r w:rsidRPr="00085BF6">
        <w:t xml:space="preserve"> enrolled in the first</w:t>
      </w:r>
      <w:r>
        <w:t>-</w:t>
      </w:r>
      <w:r w:rsidRPr="00085BF6">
        <w:t>year writing course</w:t>
      </w:r>
      <w:r>
        <w:t>, and approximately 30 per cent of new students also took the first-year critical thinking course.</w:t>
      </w:r>
      <w:r w:rsidRPr="00D5128E">
        <w:rPr>
          <w:i/>
          <w:iCs/>
        </w:rPr>
        <w:t xml:space="preserve"> </w:t>
      </w:r>
      <w:r>
        <w:t xml:space="preserve">Both credit courses are designed to develop students’ ability to perform academically at the university level. </w:t>
      </w:r>
    </w:p>
    <w:p w14:paraId="65134229" w14:textId="77777777" w:rsidR="00C666B0" w:rsidRPr="00624223" w:rsidRDefault="00C666B0" w:rsidP="00624223">
      <w:pPr>
        <w:rPr>
          <w:rFonts w:ascii="Calibri" w:hAnsi="Calibri" w:cs="Calibri"/>
          <w:i/>
        </w:rPr>
      </w:pPr>
    </w:p>
    <w:p w14:paraId="2EDE0AB8" w14:textId="77777777" w:rsidR="006A7758" w:rsidRDefault="00F05816" w:rsidP="00624223">
      <w:pPr>
        <w:pStyle w:val="Heading1"/>
      </w:pPr>
      <w:r w:rsidRPr="002D290D">
        <w:t>Metrics</w:t>
      </w:r>
      <w:r w:rsidR="00FD438B">
        <w:t xml:space="preserve"> </w:t>
      </w:r>
      <w:r w:rsidR="00C666B0">
        <w:t>and</w:t>
      </w:r>
      <w:r w:rsidR="00FD438B">
        <w:t xml:space="preserve"> Targets </w:t>
      </w:r>
    </w:p>
    <w:p w14:paraId="174DF6EF" w14:textId="77777777" w:rsidR="006A7758" w:rsidRDefault="006A7758" w:rsidP="00624223"/>
    <w:tbl>
      <w:tblPr>
        <w:tblStyle w:val="TableGrid1"/>
        <w:tblW w:w="0" w:type="auto"/>
        <w:tblLook w:val="04A0" w:firstRow="1" w:lastRow="0" w:firstColumn="1" w:lastColumn="0" w:noHBand="0" w:noVBand="1"/>
      </w:tblPr>
      <w:tblGrid>
        <w:gridCol w:w="7196"/>
        <w:gridCol w:w="2835"/>
      </w:tblGrid>
      <w:tr w:rsidR="00C56F7B" w14:paraId="6F2C0498" w14:textId="77777777" w:rsidTr="00624223">
        <w:tc>
          <w:tcPr>
            <w:tcW w:w="7196" w:type="dxa"/>
          </w:tcPr>
          <w:p w14:paraId="2506EA3F" w14:textId="77777777" w:rsidR="00C56F7B" w:rsidRPr="00624223" w:rsidRDefault="00C56F7B" w:rsidP="00624223">
            <w:pPr>
              <w:jc w:val="center"/>
              <w:rPr>
                <w:rFonts w:asciiTheme="minorHAnsi" w:hAnsiTheme="minorHAnsi" w:cstheme="minorHAnsi"/>
                <w:b/>
                <w:sz w:val="24"/>
              </w:rPr>
            </w:pPr>
            <w:r w:rsidRPr="00624223">
              <w:rPr>
                <w:rFonts w:asciiTheme="minorHAnsi" w:hAnsiTheme="minorHAnsi" w:cstheme="minorHAnsi"/>
                <w:b/>
                <w:sz w:val="24"/>
              </w:rPr>
              <w:t>System-Wide Metrics</w:t>
            </w:r>
          </w:p>
        </w:tc>
        <w:tc>
          <w:tcPr>
            <w:tcW w:w="2835" w:type="dxa"/>
          </w:tcPr>
          <w:p w14:paraId="155527F0" w14:textId="77777777" w:rsidR="00C56F7B" w:rsidRPr="00624223" w:rsidRDefault="00C56F7B" w:rsidP="00624223">
            <w:pPr>
              <w:jc w:val="center"/>
              <w:rPr>
                <w:rFonts w:asciiTheme="minorHAnsi" w:hAnsiTheme="minorHAnsi" w:cstheme="minorHAnsi"/>
                <w:b/>
                <w:sz w:val="24"/>
              </w:rPr>
            </w:pPr>
            <w:r w:rsidRPr="00624223">
              <w:rPr>
                <w:rFonts w:asciiTheme="minorHAnsi" w:hAnsiTheme="minorHAnsi" w:cstheme="minorHAnsi"/>
                <w:b/>
                <w:sz w:val="24"/>
              </w:rPr>
              <w:t>2019-20 Target</w:t>
            </w:r>
            <w:r w:rsidR="000D6F8A">
              <w:rPr>
                <w:rFonts w:asciiTheme="minorHAnsi" w:hAnsiTheme="minorHAnsi" w:cstheme="minorHAnsi"/>
                <w:b/>
                <w:sz w:val="24"/>
              </w:rPr>
              <w:t xml:space="preserve"> / Target Range</w:t>
            </w:r>
          </w:p>
          <w:p w14:paraId="7EE9ECBD" w14:textId="77777777" w:rsidR="00C56F7B" w:rsidRPr="00624223" w:rsidRDefault="00C56F7B" w:rsidP="00624223">
            <w:pPr>
              <w:jc w:val="center"/>
              <w:rPr>
                <w:rFonts w:asciiTheme="minorHAnsi" w:hAnsiTheme="minorHAnsi" w:cstheme="minorHAnsi"/>
                <w:b/>
                <w:sz w:val="24"/>
              </w:rPr>
            </w:pPr>
          </w:p>
        </w:tc>
      </w:tr>
      <w:tr w:rsidR="00C56F7B" w14:paraId="083324DF" w14:textId="77777777" w:rsidTr="00624223">
        <w:tc>
          <w:tcPr>
            <w:tcW w:w="7196" w:type="dxa"/>
          </w:tcPr>
          <w:p w14:paraId="06B937D4" w14:textId="77777777" w:rsidR="00C56F7B" w:rsidRPr="00624223" w:rsidRDefault="00C56F7B" w:rsidP="00624223">
            <w:pPr>
              <w:rPr>
                <w:rFonts w:asciiTheme="minorHAnsi" w:hAnsiTheme="minorHAnsi" w:cstheme="minorHAnsi"/>
                <w:sz w:val="22"/>
                <w:szCs w:val="22"/>
              </w:rPr>
            </w:pPr>
            <w:r w:rsidRPr="00624223">
              <w:rPr>
                <w:rStyle w:val="Emphasis"/>
                <w:rFonts w:asciiTheme="minorHAnsi" w:hAnsiTheme="minorHAnsi" w:cstheme="minorHAnsi"/>
                <w:b w:val="0"/>
                <w:i w:val="0"/>
                <w:sz w:val="22"/>
                <w:szCs w:val="22"/>
              </w:rPr>
              <w:t>Proportion of fourth year students with two or more High-Impact Practices  (HIPs) (from the National Survey of Student Engagement)</w:t>
            </w:r>
          </w:p>
        </w:tc>
        <w:tc>
          <w:tcPr>
            <w:tcW w:w="2835" w:type="dxa"/>
          </w:tcPr>
          <w:p w14:paraId="0A9F7631" w14:textId="77777777" w:rsidR="00C56F7B" w:rsidRPr="00624223" w:rsidRDefault="00FA73E3" w:rsidP="00624223">
            <w:pPr>
              <w:rPr>
                <w:rStyle w:val="Emphasis"/>
                <w:rFonts w:asciiTheme="minorHAnsi" w:hAnsiTheme="minorHAnsi" w:cstheme="minorHAnsi"/>
                <w:b w:val="0"/>
                <w:i w:val="0"/>
                <w:sz w:val="22"/>
                <w:szCs w:val="22"/>
              </w:rPr>
            </w:pPr>
            <w:r>
              <w:rPr>
                <w:rStyle w:val="Emphasis"/>
                <w:rFonts w:asciiTheme="minorHAnsi" w:hAnsiTheme="minorHAnsi" w:cstheme="minorHAnsi"/>
                <w:b w:val="0"/>
                <w:i w:val="0"/>
                <w:sz w:val="22"/>
                <w:szCs w:val="22"/>
              </w:rPr>
              <w:t xml:space="preserve"> </w:t>
            </w:r>
          </w:p>
          <w:p w14:paraId="2285F5CB" w14:textId="77777777" w:rsidR="00C56F7B" w:rsidRPr="00624223" w:rsidRDefault="000D6F8A" w:rsidP="000D6F8A">
            <w:pPr>
              <w:jc w:val="center"/>
              <w:rPr>
                <w:rFonts w:asciiTheme="minorHAnsi" w:hAnsiTheme="minorHAnsi" w:cstheme="minorHAnsi"/>
                <w:sz w:val="22"/>
                <w:szCs w:val="22"/>
              </w:rPr>
            </w:pPr>
            <w:r>
              <w:rPr>
                <w:rFonts w:asciiTheme="minorHAnsi" w:hAnsiTheme="minorHAnsi" w:cstheme="minorHAnsi"/>
                <w:sz w:val="22"/>
                <w:szCs w:val="22"/>
              </w:rPr>
              <w:t>54%</w:t>
            </w:r>
          </w:p>
        </w:tc>
      </w:tr>
      <w:tr w:rsidR="00C56F7B" w14:paraId="7A9CB51C" w14:textId="77777777" w:rsidTr="00624223">
        <w:tc>
          <w:tcPr>
            <w:tcW w:w="7196" w:type="dxa"/>
          </w:tcPr>
          <w:p w14:paraId="2D1A345D" w14:textId="77777777" w:rsidR="00C56F7B" w:rsidRPr="00624223" w:rsidRDefault="00C56F7B" w:rsidP="00624223">
            <w:pPr>
              <w:rPr>
                <w:rFonts w:asciiTheme="minorHAnsi" w:hAnsiTheme="minorHAnsi" w:cstheme="minorHAnsi"/>
                <w:sz w:val="22"/>
                <w:szCs w:val="22"/>
              </w:rPr>
            </w:pPr>
            <w:r w:rsidRPr="00624223">
              <w:rPr>
                <w:rFonts w:asciiTheme="minorHAnsi" w:hAnsiTheme="minorHAnsi" w:cstheme="minorHAnsi"/>
                <w:sz w:val="22"/>
                <w:szCs w:val="22"/>
              </w:rPr>
              <w:t xml:space="preserve">Year </w:t>
            </w:r>
            <w:r w:rsidRPr="00624223">
              <w:rPr>
                <w:rStyle w:val="Emphasis"/>
                <w:rFonts w:asciiTheme="minorHAnsi" w:hAnsiTheme="minorHAnsi" w:cstheme="minorHAnsi"/>
                <w:b w:val="0"/>
                <w:i w:val="0"/>
                <w:sz w:val="22"/>
                <w:szCs w:val="22"/>
              </w:rPr>
              <w:t>1 to Year 2 retention (from the Consortium for Student Retention Data Exchange)</w:t>
            </w:r>
          </w:p>
        </w:tc>
        <w:tc>
          <w:tcPr>
            <w:tcW w:w="2835" w:type="dxa"/>
          </w:tcPr>
          <w:p w14:paraId="615793D9" w14:textId="77777777" w:rsidR="000D6F8A" w:rsidRDefault="000D6F8A" w:rsidP="000D6F8A">
            <w:pPr>
              <w:jc w:val="center"/>
              <w:rPr>
                <w:rFonts w:asciiTheme="minorHAnsi" w:hAnsiTheme="minorHAnsi" w:cstheme="minorHAnsi"/>
                <w:sz w:val="22"/>
                <w:szCs w:val="22"/>
              </w:rPr>
            </w:pPr>
          </w:p>
          <w:p w14:paraId="77CFD148" w14:textId="77777777" w:rsidR="00C56F7B" w:rsidRPr="00624223" w:rsidRDefault="000D6F8A" w:rsidP="000D6F8A">
            <w:pPr>
              <w:jc w:val="center"/>
              <w:rPr>
                <w:rFonts w:asciiTheme="minorHAnsi" w:hAnsiTheme="minorHAnsi" w:cstheme="minorHAnsi"/>
                <w:sz w:val="22"/>
                <w:szCs w:val="22"/>
              </w:rPr>
            </w:pPr>
            <w:r>
              <w:rPr>
                <w:rFonts w:asciiTheme="minorHAnsi" w:hAnsiTheme="minorHAnsi" w:cstheme="minorHAnsi"/>
                <w:sz w:val="22"/>
                <w:szCs w:val="22"/>
              </w:rPr>
              <w:t>80%</w:t>
            </w:r>
          </w:p>
        </w:tc>
      </w:tr>
      <w:tr w:rsidR="00C56F7B" w14:paraId="2C4581D5" w14:textId="77777777" w:rsidTr="00624223">
        <w:tc>
          <w:tcPr>
            <w:tcW w:w="7196" w:type="dxa"/>
          </w:tcPr>
          <w:p w14:paraId="68DCDA0C" w14:textId="77777777" w:rsidR="00C56F7B" w:rsidRPr="00624223" w:rsidRDefault="00C56F7B" w:rsidP="00624223">
            <w:pPr>
              <w:rPr>
                <w:rFonts w:asciiTheme="minorHAnsi" w:hAnsiTheme="minorHAnsi" w:cstheme="minorHAnsi"/>
                <w:sz w:val="22"/>
                <w:szCs w:val="22"/>
              </w:rPr>
            </w:pPr>
            <w:r w:rsidRPr="00624223">
              <w:rPr>
                <w:rStyle w:val="Emphasis"/>
                <w:rFonts w:asciiTheme="minorHAnsi" w:hAnsiTheme="minorHAnsi" w:cstheme="minorHAnsi"/>
                <w:b w:val="0"/>
                <w:i w:val="0"/>
                <w:sz w:val="22"/>
                <w:szCs w:val="22"/>
              </w:rPr>
              <w:t>Proportion of operating expenditures on student services,</w:t>
            </w:r>
            <w:r w:rsidRPr="00624223">
              <w:rPr>
                <w:rFonts w:asciiTheme="minorHAnsi" w:hAnsiTheme="minorHAnsi" w:cstheme="minorHAnsi"/>
                <w:sz w:val="22"/>
                <w:szCs w:val="22"/>
              </w:rPr>
              <w:t xml:space="preserve"> net of student assistance</w:t>
            </w:r>
            <w:r w:rsidRPr="00624223">
              <w:rPr>
                <w:rStyle w:val="Emphasis"/>
                <w:rFonts w:asciiTheme="minorHAnsi" w:hAnsiTheme="minorHAnsi" w:cstheme="minorHAnsi"/>
                <w:b w:val="0"/>
                <w:i w:val="0"/>
                <w:sz w:val="22"/>
                <w:szCs w:val="22"/>
              </w:rPr>
              <w:t xml:space="preserve"> (as reported in the Council of University Finance Officers data)</w:t>
            </w:r>
          </w:p>
        </w:tc>
        <w:tc>
          <w:tcPr>
            <w:tcW w:w="2835" w:type="dxa"/>
          </w:tcPr>
          <w:p w14:paraId="7BA5E755" w14:textId="77777777" w:rsidR="00C56F7B" w:rsidRDefault="00C56F7B" w:rsidP="000D6F8A">
            <w:pPr>
              <w:jc w:val="center"/>
              <w:rPr>
                <w:rStyle w:val="Emphasis"/>
              </w:rPr>
            </w:pPr>
          </w:p>
          <w:p w14:paraId="26A89414" w14:textId="77777777" w:rsidR="000D6F8A" w:rsidRPr="000D6F8A" w:rsidRDefault="000D6F8A" w:rsidP="000D6F8A">
            <w:pPr>
              <w:jc w:val="center"/>
              <w:rPr>
                <w:rFonts w:asciiTheme="minorHAnsi" w:hAnsiTheme="minorHAnsi" w:cstheme="minorHAnsi"/>
                <w:b/>
                <w:i/>
                <w:sz w:val="22"/>
                <w:szCs w:val="22"/>
              </w:rPr>
            </w:pPr>
            <w:r w:rsidRPr="000D6F8A">
              <w:rPr>
                <w:rStyle w:val="Emphasis"/>
                <w:rFonts w:asciiTheme="minorHAnsi" w:hAnsiTheme="minorHAnsi" w:cstheme="minorHAnsi"/>
                <w:b w:val="0"/>
                <w:i w:val="0"/>
                <w:sz w:val="22"/>
              </w:rPr>
              <w:t>5-7%</w:t>
            </w:r>
          </w:p>
        </w:tc>
      </w:tr>
    </w:tbl>
    <w:p w14:paraId="0192958F" w14:textId="77777777" w:rsidR="006A7758" w:rsidRDefault="006A7758" w:rsidP="00624223"/>
    <w:tbl>
      <w:tblPr>
        <w:tblStyle w:val="TableGrid1"/>
        <w:tblW w:w="0" w:type="auto"/>
        <w:tblLook w:val="04A0" w:firstRow="1" w:lastRow="0" w:firstColumn="1" w:lastColumn="0" w:noHBand="0" w:noVBand="1"/>
      </w:tblPr>
      <w:tblGrid>
        <w:gridCol w:w="7196"/>
        <w:gridCol w:w="2835"/>
      </w:tblGrid>
      <w:tr w:rsidR="00C56F7B" w14:paraId="2CDBC524" w14:textId="77777777" w:rsidTr="00350A0C">
        <w:tc>
          <w:tcPr>
            <w:tcW w:w="7196" w:type="dxa"/>
          </w:tcPr>
          <w:p w14:paraId="6F8045DE" w14:textId="77777777" w:rsidR="00C56F7B" w:rsidRPr="00624223" w:rsidRDefault="00C56F7B" w:rsidP="00FA73E3">
            <w:pPr>
              <w:jc w:val="center"/>
              <w:rPr>
                <w:rFonts w:asciiTheme="minorHAnsi" w:hAnsiTheme="minorHAnsi" w:cstheme="minorHAnsi"/>
                <w:b/>
                <w:sz w:val="24"/>
                <w:szCs w:val="24"/>
              </w:rPr>
            </w:pPr>
            <w:r w:rsidRPr="00624223">
              <w:rPr>
                <w:rFonts w:asciiTheme="minorHAnsi" w:hAnsiTheme="minorHAnsi" w:cstheme="minorHAnsi"/>
                <w:b/>
                <w:sz w:val="24"/>
                <w:szCs w:val="24"/>
              </w:rPr>
              <w:t>Institution</w:t>
            </w:r>
            <w:r w:rsidR="00FA73E3">
              <w:rPr>
                <w:rFonts w:asciiTheme="minorHAnsi" w:hAnsiTheme="minorHAnsi" w:cstheme="minorHAnsi"/>
                <w:b/>
                <w:sz w:val="24"/>
                <w:szCs w:val="24"/>
              </w:rPr>
              <w:t>-Specific</w:t>
            </w:r>
            <w:r w:rsidRPr="00624223">
              <w:rPr>
                <w:rFonts w:asciiTheme="minorHAnsi" w:hAnsiTheme="minorHAnsi" w:cstheme="minorHAnsi"/>
                <w:b/>
                <w:sz w:val="24"/>
                <w:szCs w:val="24"/>
              </w:rPr>
              <w:t xml:space="preserve"> Metrics</w:t>
            </w:r>
          </w:p>
        </w:tc>
        <w:tc>
          <w:tcPr>
            <w:tcW w:w="2835" w:type="dxa"/>
          </w:tcPr>
          <w:p w14:paraId="27055B53" w14:textId="77777777" w:rsidR="00C56F7B" w:rsidRPr="00624223" w:rsidRDefault="00C56F7B" w:rsidP="00350A0C">
            <w:pPr>
              <w:jc w:val="center"/>
              <w:rPr>
                <w:rFonts w:asciiTheme="minorHAnsi" w:hAnsiTheme="minorHAnsi" w:cstheme="minorHAnsi"/>
                <w:b/>
                <w:sz w:val="24"/>
                <w:szCs w:val="24"/>
              </w:rPr>
            </w:pPr>
            <w:r w:rsidRPr="00624223">
              <w:rPr>
                <w:rFonts w:asciiTheme="minorHAnsi" w:hAnsiTheme="minorHAnsi" w:cstheme="minorHAnsi"/>
                <w:b/>
                <w:sz w:val="24"/>
                <w:szCs w:val="24"/>
              </w:rPr>
              <w:t>2019-20 Target</w:t>
            </w:r>
          </w:p>
          <w:p w14:paraId="138D3FF8" w14:textId="77777777" w:rsidR="00C56F7B" w:rsidRPr="00624223" w:rsidRDefault="00C56F7B" w:rsidP="00350A0C">
            <w:pPr>
              <w:jc w:val="center"/>
              <w:rPr>
                <w:rFonts w:asciiTheme="minorHAnsi" w:hAnsiTheme="minorHAnsi" w:cstheme="minorHAnsi"/>
                <w:b/>
                <w:sz w:val="24"/>
                <w:szCs w:val="24"/>
              </w:rPr>
            </w:pPr>
          </w:p>
        </w:tc>
      </w:tr>
      <w:tr w:rsidR="00C56F7B" w14:paraId="7BD26575" w14:textId="77777777" w:rsidTr="00350A0C">
        <w:tc>
          <w:tcPr>
            <w:tcW w:w="7196" w:type="dxa"/>
          </w:tcPr>
          <w:p w14:paraId="0626CAD3" w14:textId="77777777" w:rsidR="000D6F8A" w:rsidRPr="008909F3" w:rsidRDefault="000D6F8A" w:rsidP="000D6F8A">
            <w:pPr>
              <w:pStyle w:val="Tablebullet"/>
              <w:numPr>
                <w:ilvl w:val="0"/>
                <w:numId w:val="0"/>
              </w:numPr>
              <w:spacing w:before="40" w:after="40"/>
              <w:ind w:left="218"/>
              <w:rPr>
                <w:rStyle w:val="Emphasis"/>
                <w:b w:val="0"/>
                <w:i w:val="0"/>
                <w:sz w:val="22"/>
              </w:rPr>
            </w:pPr>
            <w:r>
              <w:rPr>
                <w:rStyle w:val="Emphasis"/>
                <w:b w:val="0"/>
                <w:i w:val="0"/>
                <w:sz w:val="22"/>
              </w:rPr>
              <w:t>Maclean’s Overall Ranking (primarily undergraduate)</w:t>
            </w:r>
          </w:p>
          <w:p w14:paraId="193FC4D7" w14:textId="77777777" w:rsidR="00C56F7B" w:rsidRPr="00624223" w:rsidRDefault="00C56F7B" w:rsidP="00624223">
            <w:pPr>
              <w:rPr>
                <w:rFonts w:asciiTheme="minorHAnsi" w:hAnsiTheme="minorHAnsi" w:cstheme="minorHAnsi"/>
                <w:bCs/>
                <w:iCs/>
                <w:spacing w:val="10"/>
                <w:sz w:val="22"/>
                <w:szCs w:val="22"/>
              </w:rPr>
            </w:pPr>
          </w:p>
        </w:tc>
        <w:tc>
          <w:tcPr>
            <w:tcW w:w="2835" w:type="dxa"/>
          </w:tcPr>
          <w:p w14:paraId="3E6F2AD2" w14:textId="77777777" w:rsidR="00C56F7B" w:rsidRPr="00624223" w:rsidRDefault="00FA73E3" w:rsidP="00624223">
            <w:pPr>
              <w:rPr>
                <w:rStyle w:val="Emphasis"/>
                <w:rFonts w:asciiTheme="minorHAnsi" w:hAnsiTheme="minorHAnsi" w:cstheme="minorHAnsi"/>
                <w:b w:val="0"/>
                <w:i w:val="0"/>
                <w:sz w:val="22"/>
                <w:szCs w:val="22"/>
              </w:rPr>
            </w:pPr>
            <w:r>
              <w:rPr>
                <w:rStyle w:val="Emphasis"/>
                <w:rFonts w:asciiTheme="minorHAnsi" w:hAnsiTheme="minorHAnsi" w:cstheme="minorHAnsi"/>
                <w:b w:val="0"/>
                <w:i w:val="0"/>
                <w:sz w:val="22"/>
                <w:szCs w:val="22"/>
              </w:rPr>
              <w:t xml:space="preserve"> </w:t>
            </w:r>
            <w:r w:rsidR="000D6F8A">
              <w:rPr>
                <w:rStyle w:val="Emphasis"/>
                <w:rFonts w:asciiTheme="minorHAnsi" w:hAnsiTheme="minorHAnsi" w:cstheme="minorHAnsi"/>
                <w:b w:val="0"/>
                <w:i w:val="0"/>
                <w:sz w:val="22"/>
                <w:szCs w:val="22"/>
              </w:rPr>
              <w:t>Top 2 in Ontario</w:t>
            </w:r>
          </w:p>
          <w:p w14:paraId="49CA9567" w14:textId="77777777" w:rsidR="00C56F7B" w:rsidRPr="00624223" w:rsidRDefault="00C56F7B" w:rsidP="00624223">
            <w:pPr>
              <w:rPr>
                <w:rFonts w:asciiTheme="minorHAnsi" w:hAnsiTheme="minorHAnsi" w:cstheme="minorHAnsi"/>
                <w:sz w:val="22"/>
                <w:szCs w:val="22"/>
              </w:rPr>
            </w:pPr>
          </w:p>
        </w:tc>
      </w:tr>
      <w:tr w:rsidR="00C56F7B" w14:paraId="2D7498BF" w14:textId="77777777" w:rsidTr="00350A0C">
        <w:tc>
          <w:tcPr>
            <w:tcW w:w="7196" w:type="dxa"/>
          </w:tcPr>
          <w:p w14:paraId="518B3FED" w14:textId="77777777" w:rsidR="000D6F8A" w:rsidRPr="008909F3" w:rsidRDefault="000D6F8A" w:rsidP="000D6F8A">
            <w:pPr>
              <w:pStyle w:val="Tablebullet"/>
              <w:numPr>
                <w:ilvl w:val="0"/>
                <w:numId w:val="0"/>
              </w:numPr>
              <w:spacing w:before="40" w:after="40"/>
              <w:ind w:left="218"/>
              <w:rPr>
                <w:rStyle w:val="Emphasis"/>
                <w:b w:val="0"/>
                <w:i w:val="0"/>
                <w:sz w:val="22"/>
              </w:rPr>
            </w:pPr>
            <w:r>
              <w:rPr>
                <w:rStyle w:val="Emphasis"/>
                <w:b w:val="0"/>
                <w:i w:val="0"/>
                <w:sz w:val="22"/>
              </w:rPr>
              <w:t>NSSE Question 18: How would you evaluate your entire educational experience at this institution? (First-year/Seniors)</w:t>
            </w:r>
          </w:p>
          <w:p w14:paraId="66203BD7" w14:textId="77777777" w:rsidR="00C56F7B" w:rsidRPr="00624223" w:rsidRDefault="00C56F7B" w:rsidP="00624223">
            <w:pPr>
              <w:rPr>
                <w:rFonts w:asciiTheme="minorHAnsi" w:hAnsiTheme="minorHAnsi" w:cstheme="minorHAnsi"/>
                <w:sz w:val="22"/>
                <w:szCs w:val="22"/>
              </w:rPr>
            </w:pPr>
          </w:p>
        </w:tc>
        <w:tc>
          <w:tcPr>
            <w:tcW w:w="2835" w:type="dxa"/>
          </w:tcPr>
          <w:p w14:paraId="7DA491A6" w14:textId="77777777" w:rsidR="00C56F7B" w:rsidRPr="00624223" w:rsidRDefault="00FA73E3" w:rsidP="00624223">
            <w:pPr>
              <w:rPr>
                <w:rFonts w:asciiTheme="minorHAnsi" w:hAnsiTheme="minorHAnsi" w:cstheme="minorHAnsi"/>
                <w:sz w:val="22"/>
                <w:szCs w:val="22"/>
              </w:rPr>
            </w:pPr>
            <w:r>
              <w:rPr>
                <w:rFonts w:asciiTheme="minorHAnsi" w:hAnsiTheme="minorHAnsi" w:cstheme="minorHAnsi"/>
                <w:sz w:val="22"/>
                <w:szCs w:val="22"/>
              </w:rPr>
              <w:t xml:space="preserve"> </w:t>
            </w:r>
            <w:r w:rsidR="000D6F8A">
              <w:rPr>
                <w:rFonts w:asciiTheme="minorHAnsi" w:hAnsiTheme="minorHAnsi" w:cstheme="minorHAnsi"/>
                <w:sz w:val="22"/>
                <w:szCs w:val="22"/>
              </w:rPr>
              <w:t>3.0</w:t>
            </w:r>
          </w:p>
        </w:tc>
      </w:tr>
      <w:tr w:rsidR="00C56F7B" w14:paraId="5F24F771" w14:textId="77777777" w:rsidTr="00350A0C">
        <w:tc>
          <w:tcPr>
            <w:tcW w:w="7196" w:type="dxa"/>
          </w:tcPr>
          <w:p w14:paraId="6D14B292" w14:textId="77777777" w:rsidR="00C56F7B" w:rsidRPr="000D6F8A" w:rsidRDefault="00FA73E3" w:rsidP="00624223">
            <w:pPr>
              <w:rPr>
                <w:rFonts w:asciiTheme="minorHAnsi" w:hAnsiTheme="minorHAnsi" w:cstheme="minorHAnsi"/>
                <w:sz w:val="22"/>
                <w:szCs w:val="22"/>
              </w:rPr>
            </w:pPr>
            <w:r>
              <w:rPr>
                <w:rStyle w:val="Emphasis"/>
                <w:rFonts w:asciiTheme="minorHAnsi" w:hAnsiTheme="minorHAnsi" w:cstheme="minorHAnsi"/>
                <w:b w:val="0"/>
                <w:i w:val="0"/>
                <w:sz w:val="22"/>
                <w:szCs w:val="22"/>
              </w:rPr>
              <w:t xml:space="preserve"> </w:t>
            </w:r>
            <w:r w:rsidR="000D6F8A" w:rsidRPr="000D6F8A">
              <w:rPr>
                <w:rStyle w:val="Emphasis"/>
                <w:rFonts w:asciiTheme="minorHAnsi" w:hAnsiTheme="minorHAnsi" w:cstheme="minorHAnsi"/>
                <w:b w:val="0"/>
                <w:i w:val="0"/>
                <w:sz w:val="22"/>
              </w:rPr>
              <w:t>Reflective and Integrated Learning - Senior (NSSE Engagement Indicator)</w:t>
            </w:r>
          </w:p>
        </w:tc>
        <w:tc>
          <w:tcPr>
            <w:tcW w:w="2835" w:type="dxa"/>
          </w:tcPr>
          <w:p w14:paraId="4E138D6A" w14:textId="77777777" w:rsidR="00C56F7B" w:rsidRPr="00624223" w:rsidRDefault="00FA73E3" w:rsidP="00624223">
            <w:pPr>
              <w:rPr>
                <w:rFonts w:asciiTheme="minorHAnsi" w:hAnsiTheme="minorHAnsi" w:cstheme="minorHAnsi"/>
                <w:sz w:val="22"/>
                <w:szCs w:val="22"/>
              </w:rPr>
            </w:pPr>
            <w:r>
              <w:rPr>
                <w:rStyle w:val="Emphasis"/>
                <w:rFonts w:asciiTheme="minorHAnsi" w:hAnsiTheme="minorHAnsi" w:cstheme="minorHAnsi"/>
                <w:b w:val="0"/>
                <w:i w:val="0"/>
                <w:sz w:val="22"/>
                <w:szCs w:val="22"/>
              </w:rPr>
              <w:t xml:space="preserve"> </w:t>
            </w:r>
            <w:r w:rsidR="000D6F8A">
              <w:rPr>
                <w:rStyle w:val="Emphasis"/>
                <w:rFonts w:asciiTheme="minorHAnsi" w:hAnsiTheme="minorHAnsi" w:cstheme="minorHAnsi"/>
                <w:b w:val="0"/>
                <w:i w:val="0"/>
                <w:sz w:val="22"/>
                <w:szCs w:val="22"/>
              </w:rPr>
              <w:t>36.4</w:t>
            </w:r>
          </w:p>
        </w:tc>
      </w:tr>
    </w:tbl>
    <w:p w14:paraId="2835A562" w14:textId="77777777" w:rsidR="00C56F7B" w:rsidRPr="00624223" w:rsidRDefault="00C56F7B" w:rsidP="00624223"/>
    <w:p w14:paraId="2D1679B1" w14:textId="77777777" w:rsidR="006B5E28" w:rsidRDefault="006B5E28" w:rsidP="00C666B0">
      <w:pPr>
        <w:rPr>
          <w:rFonts w:ascii="Calibri" w:hAnsi="Calibri" w:cs="Calibri"/>
          <w:i/>
          <w:highlight w:val="yellow"/>
        </w:rPr>
      </w:pPr>
    </w:p>
    <w:p w14:paraId="52475404" w14:textId="77777777" w:rsidR="00B71304" w:rsidRDefault="00B71304" w:rsidP="00B73C01">
      <w:pPr>
        <w:rPr>
          <w:rFonts w:ascii="Calibri" w:hAnsi="Calibri" w:cs="Calibri"/>
          <w:i/>
        </w:rPr>
      </w:pPr>
    </w:p>
    <w:p w14:paraId="156EF9B1" w14:textId="77777777" w:rsidR="00B71304" w:rsidRDefault="00B71304" w:rsidP="00B73C01">
      <w:pPr>
        <w:rPr>
          <w:rFonts w:ascii="Calibri" w:hAnsi="Calibri" w:cs="Calibri"/>
          <w:i/>
        </w:rPr>
      </w:pPr>
    </w:p>
    <w:p w14:paraId="5D6DC5C7" w14:textId="77777777" w:rsidR="00B71304" w:rsidRDefault="00B71304" w:rsidP="00B73C01">
      <w:pPr>
        <w:rPr>
          <w:rFonts w:ascii="Calibri" w:hAnsi="Calibri" w:cs="Calibri"/>
          <w:i/>
        </w:rPr>
      </w:pPr>
    </w:p>
    <w:p w14:paraId="57495243" w14:textId="77777777" w:rsidR="00B71304" w:rsidRDefault="00B71304" w:rsidP="00B73C01">
      <w:pPr>
        <w:rPr>
          <w:rFonts w:ascii="Calibri" w:hAnsi="Calibri" w:cs="Calibri"/>
          <w:i/>
        </w:rPr>
      </w:pPr>
    </w:p>
    <w:p w14:paraId="32E5AE8E" w14:textId="77777777" w:rsidR="00B71304" w:rsidRDefault="00B71304" w:rsidP="00B73C01">
      <w:pPr>
        <w:rPr>
          <w:rFonts w:ascii="Calibri" w:hAnsi="Calibri" w:cs="Calibri"/>
          <w:i/>
        </w:rPr>
      </w:pPr>
    </w:p>
    <w:p w14:paraId="30664BBD" w14:textId="77777777" w:rsidR="006B065B" w:rsidRDefault="006B065B" w:rsidP="00ED423E">
      <w:pPr>
        <w:pStyle w:val="Title"/>
        <w:numPr>
          <w:ilvl w:val="0"/>
          <w:numId w:val="8"/>
        </w:numPr>
        <w:outlineLvl w:val="0"/>
        <w:rPr>
          <w:sz w:val="56"/>
        </w:rPr>
      </w:pPr>
      <w:r w:rsidRPr="00D3445B">
        <w:rPr>
          <w:sz w:val="56"/>
        </w:rPr>
        <w:t>I</w:t>
      </w:r>
      <w:r w:rsidR="006B5E28">
        <w:rPr>
          <w:sz w:val="56"/>
        </w:rPr>
        <w:t>nnovation in Teaching and Learning Excellence</w:t>
      </w:r>
    </w:p>
    <w:p w14:paraId="5F745671" w14:textId="77777777" w:rsidR="00AD670F" w:rsidRPr="00101282" w:rsidRDefault="00AD670F" w:rsidP="006B5E28">
      <w:pPr>
        <w:rPr>
          <w:b/>
          <w:i/>
        </w:rPr>
      </w:pPr>
      <w:r w:rsidRPr="00101282">
        <w:rPr>
          <w:i/>
        </w:rPr>
        <w:t>This section focuses on innovative efforts including pedagogical approaches, program delivery and student services that contribute to a highly skilled workforce and ensure positive student outcomes.</w:t>
      </w:r>
    </w:p>
    <w:p w14:paraId="0D252384" w14:textId="77777777" w:rsidR="00AD670F" w:rsidRPr="00101282" w:rsidRDefault="00AD670F" w:rsidP="006B5E28">
      <w:pPr>
        <w:rPr>
          <w:i/>
        </w:rPr>
      </w:pPr>
      <w:r w:rsidRPr="00101282">
        <w:rPr>
          <w:i/>
        </w:rPr>
        <w:t xml:space="preserve">This section captures institutional strengths in delivering high-quality learning experiences, such as experiential, entrepreneurial, personalized and digital learning, to prepare students for rewarding careers. It includes recognition of student competencies that improve employability.  </w:t>
      </w:r>
    </w:p>
    <w:p w14:paraId="64D03918" w14:textId="77777777" w:rsidR="006B5E28" w:rsidRPr="00101282" w:rsidRDefault="00AD670F" w:rsidP="006B5E28">
      <w:pPr>
        <w:rPr>
          <w:i/>
        </w:rPr>
      </w:pPr>
      <w:r w:rsidRPr="00101282">
        <w:rPr>
          <w:i/>
        </w:rPr>
        <w:t>It begins to identify indicators of quality that are currently available and within an institution’s control.</w:t>
      </w:r>
    </w:p>
    <w:p w14:paraId="232B4C20" w14:textId="77777777" w:rsidR="004B13D0" w:rsidRPr="006B5E28" w:rsidRDefault="004B13D0" w:rsidP="00ED423E">
      <w:pPr>
        <w:pStyle w:val="Heading1"/>
      </w:pPr>
      <w:r>
        <w:t xml:space="preserve">Institutional Approach to Innovation in Teaching </w:t>
      </w:r>
      <w:r w:rsidR="006B5E28">
        <w:t>and</w:t>
      </w:r>
      <w:r>
        <w:t xml:space="preserve"> Learning Excellence</w:t>
      </w:r>
    </w:p>
    <w:p w14:paraId="4F142B82" w14:textId="77777777" w:rsidR="000D6F8A" w:rsidRDefault="000D6F8A" w:rsidP="000D6F8A">
      <w:r w:rsidRPr="002C19E0">
        <w:t>Trent is a primarily undergraduate</w:t>
      </w:r>
      <w:r>
        <w:t>,</w:t>
      </w:r>
      <w:r w:rsidRPr="002C19E0">
        <w:t xml:space="preserve"> research</w:t>
      </w:r>
      <w:r>
        <w:t>-</w:t>
      </w:r>
      <w:r w:rsidRPr="002C19E0">
        <w:t xml:space="preserve">intensive institution with well-established graduate programs. </w:t>
      </w:r>
      <w:r>
        <w:t xml:space="preserve"> Six components of our approach to teaching and learning are of special significance: </w:t>
      </w:r>
    </w:p>
    <w:p w14:paraId="53D609CB" w14:textId="77777777" w:rsidR="000D6F8A" w:rsidRDefault="000D6F8A" w:rsidP="000D6F8A">
      <w:pPr>
        <w:pStyle w:val="ListParagraph"/>
        <w:numPr>
          <w:ilvl w:val="0"/>
          <w:numId w:val="35"/>
        </w:numPr>
      </w:pPr>
      <w:r>
        <w:t xml:space="preserve">The recent establishment of a Centre for Teaching and Learning; </w:t>
      </w:r>
    </w:p>
    <w:p w14:paraId="55429C58" w14:textId="77777777" w:rsidR="000D6F8A" w:rsidRDefault="000D6F8A" w:rsidP="000D6F8A">
      <w:pPr>
        <w:pStyle w:val="ListParagraph"/>
        <w:numPr>
          <w:ilvl w:val="0"/>
          <w:numId w:val="35"/>
        </w:numPr>
      </w:pPr>
      <w:r>
        <w:t xml:space="preserve">Renovations to the Bata Library, which will support best practices and the development of new approaches to teaching and learning; </w:t>
      </w:r>
    </w:p>
    <w:p w14:paraId="7774AF83" w14:textId="77777777" w:rsidR="000D6F8A" w:rsidRDefault="000D6F8A" w:rsidP="000D6F8A">
      <w:pPr>
        <w:pStyle w:val="ListParagraph"/>
        <w:numPr>
          <w:ilvl w:val="0"/>
          <w:numId w:val="35"/>
        </w:numPr>
      </w:pPr>
      <w:r>
        <w:t xml:space="preserve">New teaching appointments, which focus on teaching and learning; </w:t>
      </w:r>
    </w:p>
    <w:p w14:paraId="527E22BC" w14:textId="77777777" w:rsidR="000D6F8A" w:rsidRDefault="000D6F8A" w:rsidP="000D6F8A">
      <w:pPr>
        <w:pStyle w:val="ListParagraph"/>
        <w:numPr>
          <w:ilvl w:val="0"/>
          <w:numId w:val="35"/>
        </w:numPr>
      </w:pPr>
      <w:r>
        <w:t xml:space="preserve">The future development of Trent’s Career Services, co-op programs, and experiential learning opportunities, building on some of the unique aspects of the successes in the Trent Centre for Research; </w:t>
      </w:r>
    </w:p>
    <w:p w14:paraId="4C0760BC" w14:textId="77777777" w:rsidR="000D6F8A" w:rsidRDefault="000D6F8A" w:rsidP="000D6F8A">
      <w:pPr>
        <w:pStyle w:val="ListParagraph"/>
        <w:numPr>
          <w:ilvl w:val="0"/>
          <w:numId w:val="35"/>
        </w:numPr>
      </w:pPr>
      <w:r>
        <w:t xml:space="preserve">The melding of traditional knowledge and forms of teaching with western pedagogy as a defining and distinctive value; and </w:t>
      </w:r>
    </w:p>
    <w:p w14:paraId="5216EF5A" w14:textId="77777777" w:rsidR="000D6F8A" w:rsidRDefault="000D6F8A" w:rsidP="000D6F8A">
      <w:pPr>
        <w:pStyle w:val="ListParagraph"/>
        <w:numPr>
          <w:ilvl w:val="0"/>
          <w:numId w:val="35"/>
        </w:numPr>
      </w:pPr>
      <w:r>
        <w:t>The melding of teaching and research in undergraduate and graduate teaching, in Peterborough and in Durham. The former will include links to the new Trent Research and Innovation Park.</w:t>
      </w:r>
    </w:p>
    <w:p w14:paraId="54E92E7B" w14:textId="578D0A83" w:rsidR="000D6F8A" w:rsidRPr="00C62F1A" w:rsidRDefault="000D6F8A" w:rsidP="000D6F8A">
      <w:pPr>
        <w:rPr>
          <w:i/>
        </w:rPr>
      </w:pPr>
      <w:r w:rsidRPr="00592B52">
        <w:t>Over the last three years, Trent has conducted a series of external reviews focusing on key components of its operations such as recruitment and admissions, retention and student services, Traill College, and Internationalization.</w:t>
      </w:r>
      <w:r>
        <w:t xml:space="preserve"> In keeping with the provincial government’s emphasis on experiential learning, </w:t>
      </w:r>
      <w:r>
        <w:rPr>
          <w:i/>
        </w:rPr>
        <w:t xml:space="preserve">Building the Workforce of Tomorrow: A Shared </w:t>
      </w:r>
      <w:r w:rsidRPr="00FB22B6">
        <w:rPr>
          <w:i/>
        </w:rPr>
        <w:t>Responsibility</w:t>
      </w:r>
      <w:r>
        <w:rPr>
          <w:i/>
        </w:rPr>
        <w:t xml:space="preserve">, </w:t>
      </w:r>
      <w:r>
        <w:t xml:space="preserve">the report of the Premier’s Highly Skilled Workforce Expert Panel and a Board of Governors strategic review conducted this year, Trent </w:t>
      </w:r>
      <w:r w:rsidR="00F30355">
        <w:t xml:space="preserve">has recently completed </w:t>
      </w:r>
      <w:r>
        <w:t>an external review of career services, co-op, and experiential learning.</w:t>
      </w:r>
      <w:r>
        <w:rPr>
          <w:rFonts w:ascii="Calibri" w:hAnsi="Calibri" w:cs="Calibri"/>
        </w:rPr>
        <w:t xml:space="preserve"> </w:t>
      </w:r>
      <w:r>
        <w:t>Trent expects the changes that result from this review to transform this aspect of teaching and learning.</w:t>
      </w:r>
      <w:r w:rsidRPr="00DB4723">
        <w:rPr>
          <w:i/>
        </w:rPr>
        <w:t xml:space="preserve"> </w:t>
      </w:r>
    </w:p>
    <w:p w14:paraId="10A8F5E9" w14:textId="77777777" w:rsidR="000D6F8A" w:rsidRPr="000D1F1D" w:rsidRDefault="000D6F8A" w:rsidP="000D6F8A">
      <w:pPr>
        <w:rPr>
          <w:rFonts w:ascii="Calibri" w:hAnsi="Calibri" w:cs="Calibri"/>
        </w:rPr>
      </w:pPr>
      <w:r>
        <w:rPr>
          <w:rFonts w:ascii="Calibri" w:hAnsi="Calibri" w:cs="Calibri"/>
        </w:rPr>
        <w:t>The proposed</w:t>
      </w:r>
      <w:r w:rsidRPr="000D1F1D">
        <w:rPr>
          <w:rFonts w:ascii="Calibri" w:hAnsi="Calibri" w:cs="Calibri"/>
        </w:rPr>
        <w:t xml:space="preserve"> future research park </w:t>
      </w:r>
      <w:r>
        <w:rPr>
          <w:rFonts w:ascii="Calibri" w:hAnsi="Calibri" w:cs="Calibri"/>
        </w:rPr>
        <w:t>has</w:t>
      </w:r>
      <w:r w:rsidRPr="000D1F1D">
        <w:rPr>
          <w:rFonts w:ascii="Calibri" w:hAnsi="Calibri" w:cs="Calibri"/>
        </w:rPr>
        <w:t xml:space="preserve"> </w:t>
      </w:r>
      <w:r>
        <w:rPr>
          <w:rFonts w:ascii="Calibri" w:hAnsi="Calibri" w:cs="Calibri"/>
        </w:rPr>
        <w:t xml:space="preserve">the </w:t>
      </w:r>
      <w:r w:rsidRPr="000D1F1D">
        <w:rPr>
          <w:rFonts w:ascii="Calibri" w:hAnsi="Calibri" w:cs="Calibri"/>
        </w:rPr>
        <w:t xml:space="preserve">capacity to provide many opportunities for </w:t>
      </w:r>
      <w:r>
        <w:rPr>
          <w:rFonts w:ascii="Calibri" w:hAnsi="Calibri" w:cs="Calibri"/>
        </w:rPr>
        <w:t>Trent</w:t>
      </w:r>
      <w:r w:rsidRPr="000D1F1D">
        <w:rPr>
          <w:rFonts w:ascii="Calibri" w:hAnsi="Calibri" w:cs="Calibri"/>
        </w:rPr>
        <w:t xml:space="preserve"> students to participate in co-ops, internships and placements. </w:t>
      </w:r>
      <w:r>
        <w:rPr>
          <w:rFonts w:ascii="Calibri" w:hAnsi="Calibri" w:cs="Calibri"/>
        </w:rPr>
        <w:t>Trent</w:t>
      </w:r>
      <w:r w:rsidRPr="000D1F1D">
        <w:rPr>
          <w:rFonts w:ascii="Calibri" w:hAnsi="Calibri" w:cs="Calibri"/>
        </w:rPr>
        <w:t xml:space="preserve"> </w:t>
      </w:r>
      <w:r>
        <w:rPr>
          <w:rFonts w:ascii="Calibri" w:hAnsi="Calibri" w:cs="Calibri"/>
        </w:rPr>
        <w:t xml:space="preserve">is </w:t>
      </w:r>
      <w:r w:rsidRPr="000D1F1D">
        <w:rPr>
          <w:rFonts w:ascii="Calibri" w:hAnsi="Calibri" w:cs="Calibri"/>
        </w:rPr>
        <w:t xml:space="preserve">in the process of creating increased capacity in this regard. To </w:t>
      </w:r>
      <w:r>
        <w:rPr>
          <w:rFonts w:ascii="Calibri" w:hAnsi="Calibri" w:cs="Calibri"/>
        </w:rPr>
        <w:t xml:space="preserve">maximize its ability to </w:t>
      </w:r>
      <w:r w:rsidRPr="000D1F1D">
        <w:rPr>
          <w:rFonts w:ascii="Calibri" w:hAnsi="Calibri" w:cs="Calibri"/>
        </w:rPr>
        <w:t xml:space="preserve">achieve the government’s goals, </w:t>
      </w:r>
      <w:r>
        <w:rPr>
          <w:rFonts w:ascii="Calibri" w:hAnsi="Calibri" w:cs="Calibri"/>
        </w:rPr>
        <w:t xml:space="preserve">it aims to revitalize </w:t>
      </w:r>
      <w:r w:rsidRPr="000D1F1D">
        <w:rPr>
          <w:rFonts w:ascii="Calibri" w:hAnsi="Calibri" w:cs="Calibri"/>
        </w:rPr>
        <w:t xml:space="preserve">existing programs and promote new ones; </w:t>
      </w:r>
      <w:r>
        <w:rPr>
          <w:rFonts w:ascii="Calibri" w:hAnsi="Calibri" w:cs="Calibri"/>
        </w:rPr>
        <w:t xml:space="preserve">in a way that would be well served by </w:t>
      </w:r>
      <w:r w:rsidRPr="000D1F1D">
        <w:rPr>
          <w:rFonts w:ascii="Calibri" w:hAnsi="Calibri" w:cs="Calibri"/>
        </w:rPr>
        <w:t xml:space="preserve">funding support for </w:t>
      </w:r>
      <w:r>
        <w:rPr>
          <w:rFonts w:ascii="Calibri" w:hAnsi="Calibri" w:cs="Calibri"/>
        </w:rPr>
        <w:t>these</w:t>
      </w:r>
      <w:r w:rsidRPr="000D1F1D">
        <w:rPr>
          <w:rFonts w:ascii="Calibri" w:hAnsi="Calibri" w:cs="Calibri"/>
        </w:rPr>
        <w:t xml:space="preserve"> developments.</w:t>
      </w:r>
    </w:p>
    <w:p w14:paraId="3CEE9B39" w14:textId="77777777" w:rsidR="000D6F8A" w:rsidRDefault="000D6F8A" w:rsidP="000D6F8A">
      <w:r>
        <w:t xml:space="preserve">With the support of a $7 million grant from the federal government’s Strategic Infrastructure Fund, and with Facilities Renewal Program funding from the provincial government, </w:t>
      </w:r>
      <w:r w:rsidRPr="009A6AAA">
        <w:t>Trent University’s Bata Library is undergo</w:t>
      </w:r>
      <w:r>
        <w:t>ing</w:t>
      </w:r>
      <w:r w:rsidRPr="009A6AAA">
        <w:t xml:space="preserve"> a</w:t>
      </w:r>
      <w:r>
        <w:t xml:space="preserve"> major </w:t>
      </w:r>
      <w:r w:rsidRPr="009A6AAA">
        <w:t xml:space="preserve">transformation. </w:t>
      </w:r>
      <w:r>
        <w:t xml:space="preserve">The budget for the project is $18-$20 million. In keeping with provincial and federal requests for an increased emphasis on experiential learning and entrepreneurship, the library will emerge as a more active space for learning and research. The new library will include </w:t>
      </w:r>
      <w:r w:rsidRPr="009A6AAA">
        <w:t>centres for research, entrepreneurship and experiential learning</w:t>
      </w:r>
      <w:r>
        <w:t xml:space="preserve"> in a way that will reaffirm its position a</w:t>
      </w:r>
      <w:r w:rsidRPr="009A6AAA">
        <w:t xml:space="preserve">s the academic heart of </w:t>
      </w:r>
      <w:r>
        <w:t xml:space="preserve">Trent’s </w:t>
      </w:r>
      <w:r w:rsidRPr="009A6AAA">
        <w:t xml:space="preserve">Peterborough </w:t>
      </w:r>
      <w:r>
        <w:t>C</w:t>
      </w:r>
      <w:r w:rsidRPr="009A6AAA">
        <w:t>ampus.</w:t>
      </w:r>
      <w:r w:rsidRPr="00D82DA6">
        <w:t xml:space="preserve"> </w:t>
      </w:r>
      <w:r>
        <w:t>Its completion will resolve outstanding deferred maintenance and sustainability issues with the building and re-establish it as one of Canada’s iconic architectural gems and best-known university buildings.</w:t>
      </w:r>
    </w:p>
    <w:p w14:paraId="28C5C0A9" w14:textId="77777777" w:rsidR="000D6F8A" w:rsidRDefault="000D6F8A" w:rsidP="000D6F8A">
      <w:r>
        <w:t xml:space="preserve">One of the results of the Bata retrofit will be new space for the recently established </w:t>
      </w:r>
      <w:r w:rsidRPr="002355F6">
        <w:t>Trent Centre for Teaching and Learning</w:t>
      </w:r>
      <w:r>
        <w:t xml:space="preserve">. The Centre </w:t>
      </w:r>
      <w:r w:rsidRPr="002355F6">
        <w:t>operates as an ideas hub which supports educational improv</w:t>
      </w:r>
      <w:r>
        <w:t>ements; research on pedagogy</w:t>
      </w:r>
      <w:r w:rsidRPr="002355F6">
        <w:t xml:space="preserve">; the infusion of low and high technologies that enhance student learning experiences; </w:t>
      </w:r>
      <w:r>
        <w:t>and</w:t>
      </w:r>
      <w:r w:rsidRPr="002355F6">
        <w:t xml:space="preserve"> teaching</w:t>
      </w:r>
      <w:r>
        <w:t xml:space="preserve"> excellence</w:t>
      </w:r>
      <w:r w:rsidRPr="002355F6">
        <w:t xml:space="preserve">. </w:t>
      </w:r>
      <w:r>
        <w:t>The C</w:t>
      </w:r>
      <w:r w:rsidRPr="002355F6">
        <w:t>entre supports collaborati</w:t>
      </w:r>
      <w:r>
        <w:t>on</w:t>
      </w:r>
      <w:r w:rsidRPr="002355F6">
        <w:t xml:space="preserve"> to create engaged and sustainable communities of practice; </w:t>
      </w:r>
      <w:r>
        <w:t xml:space="preserve">the </w:t>
      </w:r>
      <w:r w:rsidRPr="002355F6">
        <w:t>develop</w:t>
      </w:r>
      <w:r>
        <w:t xml:space="preserve">ment </w:t>
      </w:r>
      <w:r w:rsidRPr="002355F6">
        <w:t>and implement</w:t>
      </w:r>
      <w:r>
        <w:t xml:space="preserve">ation of </w:t>
      </w:r>
      <w:r w:rsidRPr="002355F6">
        <w:t xml:space="preserve">shared research projects; </w:t>
      </w:r>
      <w:r>
        <w:t xml:space="preserve">and </w:t>
      </w:r>
      <w:r w:rsidRPr="002355F6">
        <w:t xml:space="preserve">building resources </w:t>
      </w:r>
      <w:r>
        <w:t xml:space="preserve">for </w:t>
      </w:r>
      <w:r w:rsidRPr="002355F6">
        <w:t>teaching practices t</w:t>
      </w:r>
      <w:r>
        <w:t xml:space="preserve">hat </w:t>
      </w:r>
      <w:r w:rsidRPr="002355F6">
        <w:t xml:space="preserve">enhance student learning. One of the </w:t>
      </w:r>
      <w:r>
        <w:t xml:space="preserve">Centre’s principal </w:t>
      </w:r>
      <w:r w:rsidRPr="002355F6">
        <w:t>goals is engag</w:t>
      </w:r>
      <w:r>
        <w:t>ing</w:t>
      </w:r>
      <w:r w:rsidRPr="002355F6">
        <w:t xml:space="preserve"> instructors in critical dialogue about teaching</w:t>
      </w:r>
      <w:r>
        <w:t xml:space="preserve">. As an institution committed to “Challenge the Way You Think” the Centre encourages and facilitates activities that </w:t>
      </w:r>
      <w:r w:rsidRPr="002355F6">
        <w:t xml:space="preserve">challenge the way we </w:t>
      </w:r>
      <w:r>
        <w:t xml:space="preserve">learn and </w:t>
      </w:r>
      <w:r w:rsidRPr="002355F6">
        <w:t>teach.</w:t>
      </w:r>
    </w:p>
    <w:p w14:paraId="457CDCE6" w14:textId="77777777" w:rsidR="00B73C01" w:rsidRPr="00FC7CA3" w:rsidRDefault="00FA73E3" w:rsidP="00FA73E3">
      <w:r>
        <w:t xml:space="preserve"> </w:t>
      </w:r>
    </w:p>
    <w:p w14:paraId="623344A9" w14:textId="77777777" w:rsidR="002C72FD" w:rsidRPr="00253871" w:rsidRDefault="002C72FD" w:rsidP="00ED423E">
      <w:pPr>
        <w:pStyle w:val="Heading1"/>
      </w:pPr>
      <w:r w:rsidRPr="004B13D0">
        <w:t xml:space="preserve">Examples of Institutional Initiatives </w:t>
      </w:r>
    </w:p>
    <w:p w14:paraId="63DDF0D1" w14:textId="06ACAEF5" w:rsidR="000D6F8A" w:rsidRPr="00FF0780" w:rsidRDefault="000D6F8A" w:rsidP="000D6F8A">
      <w:pPr>
        <w:rPr>
          <w:b/>
        </w:rPr>
      </w:pPr>
      <w:r w:rsidRPr="00FF0780">
        <w:rPr>
          <w:b/>
        </w:rPr>
        <w:t xml:space="preserve">Undergraduate Research Publication and Presentation </w:t>
      </w:r>
    </w:p>
    <w:p w14:paraId="546C7191" w14:textId="77777777" w:rsidR="000D6F8A" w:rsidRDefault="000D6F8A" w:rsidP="000D6F8A">
      <w:r w:rsidRPr="006F2187">
        <w:t>The Trent commitment to undergraduate research has resulted in co-publishing with professors, conference attendance and conference papers. Biology</w:t>
      </w:r>
      <w:r>
        <w:t xml:space="preserve">, </w:t>
      </w:r>
      <w:r w:rsidRPr="006F2187">
        <w:t xml:space="preserve">for example, had 200 undergraduate </w:t>
      </w:r>
      <w:r>
        <w:t xml:space="preserve">theses in the last five </w:t>
      </w:r>
      <w:r w:rsidRPr="006F2187">
        <w:t xml:space="preserve">years, which have resulted in 70 co-authored </w:t>
      </w:r>
      <w:r>
        <w:t xml:space="preserve">peer-reviewed </w:t>
      </w:r>
      <w:r w:rsidRPr="006F2187">
        <w:t>publ</w:t>
      </w:r>
      <w:r>
        <w:t>ications.</w:t>
      </w:r>
      <w:r w:rsidRPr="003C3CA2">
        <w:t xml:space="preserve"> </w:t>
      </w:r>
    </w:p>
    <w:p w14:paraId="5F4DBA3D" w14:textId="77777777" w:rsidR="000D6F8A" w:rsidRPr="00FF0780" w:rsidRDefault="000D6F8A" w:rsidP="000D6F8A">
      <w:pPr>
        <w:rPr>
          <w:b/>
        </w:rPr>
      </w:pPr>
      <w:r w:rsidRPr="00FF0780">
        <w:rPr>
          <w:b/>
        </w:rPr>
        <w:t>Teaching Development and Awards</w:t>
      </w:r>
    </w:p>
    <w:p w14:paraId="43EEABF3" w14:textId="77777777" w:rsidR="000D6F8A" w:rsidRDefault="000D6F8A" w:rsidP="000D6F8A">
      <w:r>
        <w:t>Trent has received 35 external teaching awards (which include ten Ontario Confederation of University Faculty Associations teaching awards and six 3M Fellows). In the last year, the Centre for Teaching and Learning has hosted over 100 meetings and professional learning sessions. The Centre is leading Trent’s efforts to educate faculty on Universal Instructional Design principles.</w:t>
      </w:r>
    </w:p>
    <w:p w14:paraId="3647516F" w14:textId="77777777" w:rsidR="000D6F8A" w:rsidRPr="00FF0780" w:rsidRDefault="000D6F8A" w:rsidP="000D6F8A">
      <w:pPr>
        <w:rPr>
          <w:b/>
        </w:rPr>
      </w:pPr>
      <w:r w:rsidRPr="00FF0780">
        <w:rPr>
          <w:b/>
        </w:rPr>
        <w:t xml:space="preserve">Student Involvement in Patent Development </w:t>
      </w:r>
    </w:p>
    <w:p w14:paraId="690BE617" w14:textId="77777777" w:rsidR="000D6F8A" w:rsidRDefault="000D6F8A" w:rsidP="000D6F8A">
      <w:r w:rsidRPr="006F2187">
        <w:t xml:space="preserve">Trent has </w:t>
      </w:r>
      <w:r>
        <w:t>developed 29</w:t>
      </w:r>
      <w:r w:rsidRPr="006F2187">
        <w:t xml:space="preserve"> patents, every one of them developed with at least one student co-inventor</w:t>
      </w:r>
      <w:r>
        <w:t>.</w:t>
      </w:r>
    </w:p>
    <w:p w14:paraId="0886E73C" w14:textId="77777777" w:rsidR="000D6F8A" w:rsidRPr="00FF0780" w:rsidRDefault="000D6F8A" w:rsidP="000D6F8A">
      <w:pPr>
        <w:rPr>
          <w:b/>
        </w:rPr>
      </w:pPr>
      <w:r w:rsidRPr="00FF0780">
        <w:rPr>
          <w:b/>
        </w:rPr>
        <w:t>Working Group on Indigenous Knowledges and Pedagogies</w:t>
      </w:r>
    </w:p>
    <w:p w14:paraId="3A61AB55" w14:textId="61EBE014" w:rsidR="000D6F8A" w:rsidRDefault="000D6F8A" w:rsidP="000D6F8A">
      <w:r>
        <w:t>Trent is creating</w:t>
      </w:r>
      <w:r w:rsidRPr="00A30730">
        <w:t xml:space="preserve"> a working group on Indigenous </w:t>
      </w:r>
      <w:r>
        <w:t>k</w:t>
      </w:r>
      <w:r w:rsidRPr="00A30730">
        <w:t>nowledges and pedagogies within the Centre for Teaching and Learning to assist faculty design</w:t>
      </w:r>
      <w:r>
        <w:t xml:space="preserve"> their courses</w:t>
      </w:r>
      <w:r w:rsidRPr="00A30730">
        <w:t xml:space="preserve">, review and redesign their courses as appropriate, and </w:t>
      </w:r>
      <w:r>
        <w:t>to</w:t>
      </w:r>
      <w:r w:rsidRPr="00A30730">
        <w:t xml:space="preserve"> creat</w:t>
      </w:r>
      <w:r>
        <w:t>e</w:t>
      </w:r>
      <w:r w:rsidRPr="00A30730">
        <w:t xml:space="preserve"> new course offerings. </w:t>
      </w:r>
      <w:r>
        <w:t xml:space="preserve">For example, the Indigenous Environmental Studies program combines traditional knowledge and western understanding. Trent has Elders as tenured faculty and offers land-based teaching (e.g., a </w:t>
      </w:r>
      <w:r w:rsidR="00C6523F">
        <w:t xml:space="preserve">birch </w:t>
      </w:r>
      <w:r w:rsidR="00D11D06">
        <w:t>bark</w:t>
      </w:r>
      <w:r>
        <w:t xml:space="preserve"> canoe was recently built inside the Bata Library building).</w:t>
      </w:r>
    </w:p>
    <w:p w14:paraId="4FF6C11B" w14:textId="77777777" w:rsidR="000D6F8A" w:rsidRPr="00FF0780" w:rsidRDefault="000D6F8A" w:rsidP="000D6F8A">
      <w:pPr>
        <w:spacing w:after="0"/>
        <w:rPr>
          <w:b/>
        </w:rPr>
      </w:pPr>
      <w:r w:rsidRPr="00FF0780">
        <w:rPr>
          <w:b/>
        </w:rPr>
        <w:t>eCampusOntario Grant</w:t>
      </w:r>
    </w:p>
    <w:p w14:paraId="485B11DC" w14:textId="77777777" w:rsidR="000D6F8A" w:rsidRDefault="000D6F8A" w:rsidP="000D6F8A">
      <w:pPr>
        <w:spacing w:after="0"/>
      </w:pPr>
    </w:p>
    <w:p w14:paraId="68C8F1B9" w14:textId="77777777" w:rsidR="000D6F8A" w:rsidRDefault="000D6F8A" w:rsidP="000D6F8A">
      <w:pPr>
        <w:spacing w:after="0"/>
      </w:pPr>
      <w:r>
        <w:t>With $977,180 in funding from eCampusOntario, numerous faculty members at Trent are working to develop new online programs and courses, and are conducting research related to online learning. Each of the awarded projects will support enhanced learning opportunities for students and will involve collaboration within Trent University, the Trent Community Research Centre (TCRC) and ten other Ontario universities or colleges. As part of the funding, Trent Online will support the development of two new innovative programs: a Master of Environmental Monitoring and Assessment degree program and a Circumpolar Studies Specialization diploma. Both programs will be unique in Canada and will be offered almost entirely online.</w:t>
      </w:r>
      <w:r w:rsidRPr="00B03998">
        <w:rPr>
          <w:rStyle w:val="FootnoteReference"/>
        </w:rPr>
        <w:t xml:space="preserve"> </w:t>
      </w:r>
      <w:r>
        <w:rPr>
          <w:rStyle w:val="FootnoteReference"/>
        </w:rPr>
        <w:footnoteReference w:id="1"/>
      </w:r>
      <w:r>
        <w:t xml:space="preserve"> In addition, funding was awarded to develop a series of open access online resources to encourage integrated theory and practice learning through community-based research. This is in addition to research grants that explore the cost effectiveness of using virtual pre-simulation in nursing education and a grant to research tools and approaches for improving accessibility through enhanced online communication.  </w:t>
      </w:r>
    </w:p>
    <w:p w14:paraId="7FEE2703" w14:textId="77777777" w:rsidR="000D6F8A" w:rsidRDefault="000D6F8A" w:rsidP="000D6F8A">
      <w:pPr>
        <w:pStyle w:val="ListParagraph"/>
        <w:spacing w:after="0"/>
        <w:ind w:left="360"/>
      </w:pPr>
    </w:p>
    <w:p w14:paraId="6E5B9200" w14:textId="77777777" w:rsidR="000D6F8A" w:rsidRPr="00FF0780" w:rsidRDefault="000D6F8A" w:rsidP="000D6F8A">
      <w:pPr>
        <w:rPr>
          <w:b/>
        </w:rPr>
      </w:pPr>
      <w:r>
        <w:rPr>
          <w:b/>
        </w:rPr>
        <w:t>EditionsTrent</w:t>
      </w:r>
    </w:p>
    <w:p w14:paraId="49FD0A34" w14:textId="77777777" w:rsidR="000D6F8A" w:rsidRPr="00FF0780" w:rsidRDefault="000D6F8A" w:rsidP="000D6F8A">
      <w:pPr>
        <w:rPr>
          <w:i/>
        </w:rPr>
      </w:pPr>
      <w:r>
        <w:t>Faculty in this Trent research group are involved in multiple SSHRC-funded projects, and offer digital editing internships to students in the internship stream of the English Master of Arts (MA) degree. The group has produced over a dozen print volumes and developed an innovative interface for digital editions, the Digital Page Reader.  The digital editions will be housed on the Canadian Writing Reading Collaboratory (CWRC) site, where the interface will be made available to other projects.</w:t>
      </w:r>
    </w:p>
    <w:p w14:paraId="0B7D3EA4" w14:textId="77777777" w:rsidR="000D6F8A" w:rsidRPr="00FF0780" w:rsidRDefault="000D6F8A" w:rsidP="000D6F8A">
      <w:pPr>
        <w:rPr>
          <w:b/>
        </w:rPr>
      </w:pPr>
      <w:r w:rsidRPr="00FF0780">
        <w:rPr>
          <w:b/>
        </w:rPr>
        <w:t xml:space="preserve">The Trent Centre for Aging </w:t>
      </w:r>
      <w:r>
        <w:rPr>
          <w:b/>
        </w:rPr>
        <w:t>and</w:t>
      </w:r>
      <w:r w:rsidRPr="00FF0780">
        <w:rPr>
          <w:b/>
        </w:rPr>
        <w:t xml:space="preserve"> Society (TCAS)</w:t>
      </w:r>
    </w:p>
    <w:p w14:paraId="5ED8D392" w14:textId="77777777" w:rsidR="000D6F8A" w:rsidRDefault="000D6F8A" w:rsidP="000D6F8A">
      <w:r>
        <w:t>The TCAS</w:t>
      </w:r>
      <w:r w:rsidRPr="00A13C36">
        <w:t xml:space="preserve"> collaborates with the TCRC to place students with local agencies </w:t>
      </w:r>
      <w:r>
        <w:t xml:space="preserve">interested in </w:t>
      </w:r>
      <w:r w:rsidRPr="00A13C36">
        <w:t xml:space="preserve">age-related research. </w:t>
      </w:r>
      <w:r>
        <w:t xml:space="preserve">It is working on an academic program that will include community placements for students. For example, a Trent faculty member </w:t>
      </w:r>
      <w:r w:rsidRPr="00A03917">
        <w:t xml:space="preserve">is a research lead on </w:t>
      </w:r>
      <w:r>
        <w:t>a seven-</w:t>
      </w:r>
      <w:r w:rsidRPr="00A03917">
        <w:t>year S</w:t>
      </w:r>
      <w:r>
        <w:t xml:space="preserve">ocial </w:t>
      </w:r>
      <w:r w:rsidRPr="00A03917">
        <w:t>S</w:t>
      </w:r>
      <w:r>
        <w:t>ciences and Humanities Research Council (SS</w:t>
      </w:r>
      <w:r w:rsidRPr="00A03917">
        <w:t>HRC</w:t>
      </w:r>
      <w:r>
        <w:t>)</w:t>
      </w:r>
      <w:r w:rsidRPr="00A03917">
        <w:t xml:space="preserve"> Partnership Grant (2017-2024) </w:t>
      </w:r>
      <w:r>
        <w:t>that</w:t>
      </w:r>
      <w:r w:rsidRPr="00A03917">
        <w:t xml:space="preserve"> will involve faculty, undergraduate and graduate students and community partners in research creation and dissemination for meaningful social inclusion of older adults at the intersection of race, class, gender, sexuality and disability. </w:t>
      </w:r>
    </w:p>
    <w:p w14:paraId="3F397882" w14:textId="77777777" w:rsidR="000D6F8A" w:rsidRPr="00FF0780" w:rsidRDefault="000D6F8A" w:rsidP="000D6F8A">
      <w:pPr>
        <w:rPr>
          <w:b/>
        </w:rPr>
      </w:pPr>
      <w:r w:rsidRPr="00FF0780">
        <w:rPr>
          <w:b/>
        </w:rPr>
        <w:t xml:space="preserve">Internships, Practice, Study Abroad, Clinical Professional and Teaching Placements </w:t>
      </w:r>
    </w:p>
    <w:p w14:paraId="1AD0DF5B" w14:textId="77777777" w:rsidR="000D6F8A" w:rsidRDefault="000D6F8A" w:rsidP="000D6F8A">
      <w:r w:rsidRPr="00371C92">
        <w:t xml:space="preserve">Over 13 of Trent’s 26 departments offer experiential learning placements. </w:t>
      </w:r>
      <w:r>
        <w:rPr>
          <w:color w:val="000000"/>
        </w:rPr>
        <w:t>Its</w:t>
      </w:r>
      <w:r w:rsidRPr="00FF0780">
        <w:rPr>
          <w:color w:val="000000"/>
        </w:rPr>
        <w:t xml:space="preserve"> programs in Nursing, Teacher Education, Forensics, Biology (specializations in conservation biology and health sciences) and Business all have well-established programs of placements and internships. </w:t>
      </w:r>
      <w:r>
        <w:t>Trent’s</w:t>
      </w:r>
      <w:r w:rsidRPr="00371C92">
        <w:t xml:space="preserve"> business internship program has 70 placements with companies in the region. In addition to its professional placements, the School of Education's literacy tutors program placed 135 teacher candidates in 2016. The students worked with at-risk pupils, benefit</w:t>
      </w:r>
      <w:r>
        <w:t>t</w:t>
      </w:r>
      <w:r w:rsidRPr="00371C92">
        <w:t xml:space="preserve">ing the pupil, the teacher candidate, the school, the community and </w:t>
      </w:r>
      <w:r>
        <w:t>Trent</w:t>
      </w:r>
      <w:r w:rsidRPr="00371C92">
        <w:t>.</w:t>
      </w:r>
      <w:r>
        <w:t xml:space="preserve"> </w:t>
      </w:r>
      <w:r w:rsidRPr="00FF0780">
        <w:rPr>
          <w:color w:val="000000"/>
        </w:rPr>
        <w:t xml:space="preserve">Community-based education and service learning opportunities are also available in most departments. Experiential learning opportunities exist at </w:t>
      </w:r>
      <w:r>
        <w:rPr>
          <w:color w:val="000000"/>
        </w:rPr>
        <w:t xml:space="preserve">both </w:t>
      </w:r>
      <w:r w:rsidRPr="00FF0780">
        <w:rPr>
          <w:color w:val="000000"/>
        </w:rPr>
        <w:t>the graduate and undergraduate levels and internationally.</w:t>
      </w:r>
    </w:p>
    <w:p w14:paraId="5A156E83" w14:textId="77777777" w:rsidR="000D6F8A" w:rsidRPr="00FF0780" w:rsidRDefault="000D6F8A" w:rsidP="000D6F8A">
      <w:pPr>
        <w:rPr>
          <w:b/>
        </w:rPr>
      </w:pPr>
      <w:r w:rsidRPr="00FF0780">
        <w:rPr>
          <w:b/>
        </w:rPr>
        <w:t>The Trent Community Research Centre (TCRC)</w:t>
      </w:r>
    </w:p>
    <w:p w14:paraId="033D8A3C" w14:textId="77777777" w:rsidR="000D6F8A" w:rsidRDefault="000D6F8A" w:rsidP="000D6F8A">
      <w:r w:rsidRPr="002C19E0">
        <w:t>The TC</w:t>
      </w:r>
      <w:r>
        <w:t>R</w:t>
      </w:r>
      <w:r w:rsidRPr="002C19E0">
        <w:t>C is a globally recognized experiential learning centre that places students with local community organizations to complete research projects.</w:t>
      </w:r>
      <w:r>
        <w:rPr>
          <w:rStyle w:val="FootnoteReference"/>
        </w:rPr>
        <w:footnoteReference w:id="2"/>
      </w:r>
      <w:r w:rsidRPr="002C19E0">
        <w:t xml:space="preserve"> Experiential learning and community-based research involving faculty, students (undergraduate and graduate) and community partners are supporting student development at the same time that they support the building of healthier </w:t>
      </w:r>
      <w:r>
        <w:t>communities.</w:t>
      </w:r>
    </w:p>
    <w:p w14:paraId="6AECCFD3" w14:textId="77777777" w:rsidR="000D6F8A" w:rsidRPr="00FF0780" w:rsidRDefault="000D6F8A" w:rsidP="000D6F8A">
      <w:pPr>
        <w:rPr>
          <w:b/>
        </w:rPr>
      </w:pPr>
      <w:r w:rsidRPr="00FF0780">
        <w:rPr>
          <w:b/>
        </w:rPr>
        <w:t xml:space="preserve">MA in English Literature (Public Texts) </w:t>
      </w:r>
    </w:p>
    <w:p w14:paraId="19EDBC0E" w14:textId="3B9676AB" w:rsidR="000D6F8A" w:rsidRPr="00B4264E" w:rsidRDefault="000D6F8A" w:rsidP="000D6F8A">
      <w:r>
        <w:t xml:space="preserve">The MA in English Literature (Public Texts) focuses on the production, circulation and reception of texts. It is different than many Masters programs in that it does not focus solely on preparing students for doctoral studies in English Literature. It includes internship, </w:t>
      </w:r>
      <w:r w:rsidR="00D11D06">
        <w:t>thesis, Major</w:t>
      </w:r>
      <w:r>
        <w:t xml:space="preserve"> Research Paper streams and a research creation stream.</w:t>
      </w:r>
    </w:p>
    <w:p w14:paraId="50542CF1" w14:textId="77777777" w:rsidR="000D6F8A" w:rsidRPr="00FF0780" w:rsidRDefault="000D6F8A" w:rsidP="000D6F8A">
      <w:pPr>
        <w:rPr>
          <w:b/>
        </w:rPr>
      </w:pPr>
      <w:r w:rsidRPr="00FF0780">
        <w:rPr>
          <w:b/>
        </w:rPr>
        <w:t>New Co-operative Education Option in Computing Systems</w:t>
      </w:r>
    </w:p>
    <w:p w14:paraId="484CFACF" w14:textId="77777777" w:rsidR="000D6F8A" w:rsidRPr="00836271" w:rsidRDefault="000D6F8A" w:rsidP="000D6F8A">
      <w:r w:rsidRPr="006A4A04">
        <w:t xml:space="preserve">This </w:t>
      </w:r>
      <w:r>
        <w:t>c</w:t>
      </w:r>
      <w:r w:rsidRPr="006A4A04">
        <w:t>o-</w:t>
      </w:r>
      <w:r>
        <w:t>o</w:t>
      </w:r>
      <w:r w:rsidRPr="006A4A04">
        <w:t xml:space="preserve">p </w:t>
      </w:r>
      <w:r>
        <w:t>o</w:t>
      </w:r>
      <w:r w:rsidRPr="006A4A04">
        <w:t xml:space="preserve">ption is available to students in </w:t>
      </w:r>
      <w:r>
        <w:t>four</w:t>
      </w:r>
      <w:r w:rsidRPr="006A4A04">
        <w:t xml:space="preserve"> </w:t>
      </w:r>
      <w:r>
        <w:t>d</w:t>
      </w:r>
      <w:r w:rsidRPr="006A4A04">
        <w:t>egree programs: BSc single-major Honours in Computing Systems</w:t>
      </w:r>
      <w:r>
        <w:t>;</w:t>
      </w:r>
      <w:r w:rsidRPr="006A4A04">
        <w:t xml:space="preserve"> BSc single-major Honours in Computing Systems with a Specialization in Computer Science</w:t>
      </w:r>
      <w:r>
        <w:t>;</w:t>
      </w:r>
      <w:r w:rsidRPr="006A4A04">
        <w:t xml:space="preserve"> BSc single- major Honours in Computing Systems with a Specialization in Data Analytics</w:t>
      </w:r>
      <w:r>
        <w:t>;</w:t>
      </w:r>
      <w:r w:rsidRPr="006A4A04">
        <w:t xml:space="preserve"> and BSc single-major Honours in Computing Systems with a Specialization in Software Engineering. It provides students the opportunity to get a head start on their career. By combining academic instruction and practical experience</w:t>
      </w:r>
      <w:r>
        <w:t>,</w:t>
      </w:r>
      <w:r w:rsidRPr="006A4A04">
        <w:t xml:space="preserve"> students develop key skills, explore career options and graduate with 12 months of relevant experience. </w:t>
      </w:r>
    </w:p>
    <w:p w14:paraId="4C3EA832" w14:textId="77777777" w:rsidR="000D6F8A" w:rsidRPr="00FF0780" w:rsidRDefault="000D6F8A" w:rsidP="000D6F8A">
      <w:pPr>
        <w:rPr>
          <w:b/>
        </w:rPr>
      </w:pPr>
      <w:r w:rsidRPr="00FF0780">
        <w:rPr>
          <w:b/>
        </w:rPr>
        <w:t>Review of Career Services, Co-op and Experiential Learning</w:t>
      </w:r>
    </w:p>
    <w:p w14:paraId="2BC788DF" w14:textId="4B6B7BA2" w:rsidR="00ED423E" w:rsidRPr="00101282" w:rsidRDefault="000D6F8A" w:rsidP="00ED423E">
      <w:r>
        <w:t xml:space="preserve">The </w:t>
      </w:r>
      <w:r w:rsidRPr="00E17D52">
        <w:t>Experiential Education Coordinator</w:t>
      </w:r>
      <w:r>
        <w:t xml:space="preserve"> position</w:t>
      </w:r>
      <w:r w:rsidRPr="00E17D52">
        <w:t xml:space="preserve"> was created in 201</w:t>
      </w:r>
      <w:r>
        <w:t>5. T</w:t>
      </w:r>
      <w:r w:rsidRPr="00E17D52">
        <w:t xml:space="preserve">he </w:t>
      </w:r>
      <w:r>
        <w:t xml:space="preserve">initial </w:t>
      </w:r>
      <w:r w:rsidRPr="00E17D52">
        <w:t xml:space="preserve">focus </w:t>
      </w:r>
      <w:r>
        <w:t xml:space="preserve">of the Coordinator </w:t>
      </w:r>
      <w:r w:rsidRPr="00E17D52">
        <w:t xml:space="preserve">was </w:t>
      </w:r>
      <w:r>
        <w:t xml:space="preserve">to conduct </w:t>
      </w:r>
      <w:r w:rsidRPr="00E17D52">
        <w:t>an inventory of existing experiential learning opportunities at Trent</w:t>
      </w:r>
      <w:r>
        <w:t>, with a view to promoting</w:t>
      </w:r>
      <w:r w:rsidRPr="00E17D52">
        <w:t xml:space="preserve"> those activities within Trent and to the broader community, and </w:t>
      </w:r>
      <w:r>
        <w:t xml:space="preserve">to </w:t>
      </w:r>
      <w:r w:rsidRPr="00E17D52">
        <w:t xml:space="preserve">develop best practices and resources to encourage the expansion of these opportunities. </w:t>
      </w:r>
      <w:r>
        <w:t>The inventory has been completed and some progress made. In the interim, Trent launched a broader, external review of these aspects of its operations. It is hoped that the reviewer’s recommendations will allow Trent to significantly expand activities in this area. A report from the review committee was received in the summer of 2017.</w:t>
      </w:r>
    </w:p>
    <w:p w14:paraId="20DA9879" w14:textId="77777777" w:rsidR="0016138F" w:rsidRDefault="006B065B" w:rsidP="00ED423E">
      <w:pPr>
        <w:pStyle w:val="Heading2"/>
      </w:pPr>
      <w:r w:rsidRPr="004B13D0">
        <w:t>Metrics</w:t>
      </w:r>
      <w:r w:rsidR="003D611D" w:rsidRPr="004B13D0">
        <w:t xml:space="preserve"> </w:t>
      </w:r>
      <w:r w:rsidR="006B5E28">
        <w:t>and</w:t>
      </w:r>
      <w:r w:rsidR="003D611D" w:rsidRPr="004B13D0">
        <w:t xml:space="preserve"> Targets </w:t>
      </w:r>
    </w:p>
    <w:p w14:paraId="7D181C0A" w14:textId="77777777" w:rsidR="00B71304" w:rsidRDefault="00B71304" w:rsidP="00624223"/>
    <w:tbl>
      <w:tblPr>
        <w:tblStyle w:val="TableGrid1"/>
        <w:tblW w:w="0" w:type="auto"/>
        <w:tblLook w:val="04A0" w:firstRow="1" w:lastRow="0" w:firstColumn="1" w:lastColumn="0" w:noHBand="0" w:noVBand="1"/>
      </w:tblPr>
      <w:tblGrid>
        <w:gridCol w:w="7196"/>
        <w:gridCol w:w="2835"/>
      </w:tblGrid>
      <w:tr w:rsidR="00B71304" w14:paraId="3689662B" w14:textId="77777777" w:rsidTr="00350A0C">
        <w:tc>
          <w:tcPr>
            <w:tcW w:w="7196" w:type="dxa"/>
          </w:tcPr>
          <w:p w14:paraId="20F8B3C8" w14:textId="77777777" w:rsidR="00B71304" w:rsidRPr="000906CB" w:rsidRDefault="00B71304" w:rsidP="00350A0C">
            <w:pPr>
              <w:jc w:val="center"/>
              <w:rPr>
                <w:rFonts w:asciiTheme="minorHAnsi" w:hAnsiTheme="minorHAnsi" w:cstheme="minorHAnsi"/>
                <w:b/>
                <w:sz w:val="24"/>
              </w:rPr>
            </w:pPr>
            <w:r w:rsidRPr="000906CB">
              <w:rPr>
                <w:rFonts w:asciiTheme="minorHAnsi" w:hAnsiTheme="minorHAnsi" w:cstheme="minorHAnsi"/>
                <w:b/>
                <w:sz w:val="24"/>
              </w:rPr>
              <w:t>System-Wide Metrics</w:t>
            </w:r>
          </w:p>
        </w:tc>
        <w:tc>
          <w:tcPr>
            <w:tcW w:w="2835" w:type="dxa"/>
          </w:tcPr>
          <w:p w14:paraId="0015B4C9" w14:textId="77777777" w:rsidR="00B71304" w:rsidRPr="000906CB" w:rsidRDefault="00B71304" w:rsidP="00350A0C">
            <w:pPr>
              <w:jc w:val="center"/>
              <w:rPr>
                <w:rFonts w:asciiTheme="minorHAnsi" w:hAnsiTheme="minorHAnsi" w:cstheme="minorHAnsi"/>
                <w:b/>
                <w:sz w:val="24"/>
              </w:rPr>
            </w:pPr>
            <w:r w:rsidRPr="000906CB">
              <w:rPr>
                <w:rFonts w:asciiTheme="minorHAnsi" w:hAnsiTheme="minorHAnsi" w:cstheme="minorHAnsi"/>
                <w:b/>
                <w:sz w:val="24"/>
              </w:rPr>
              <w:t>2019-20 Target</w:t>
            </w:r>
          </w:p>
          <w:p w14:paraId="5BC52E2D" w14:textId="77777777" w:rsidR="00B71304" w:rsidRPr="000906CB" w:rsidRDefault="00B71304" w:rsidP="00350A0C">
            <w:pPr>
              <w:jc w:val="center"/>
              <w:rPr>
                <w:rFonts w:asciiTheme="minorHAnsi" w:hAnsiTheme="minorHAnsi" w:cstheme="minorHAnsi"/>
                <w:b/>
                <w:sz w:val="24"/>
              </w:rPr>
            </w:pPr>
          </w:p>
        </w:tc>
      </w:tr>
      <w:tr w:rsidR="00B71304" w14:paraId="6430AEDE" w14:textId="77777777" w:rsidTr="00350A0C">
        <w:tc>
          <w:tcPr>
            <w:tcW w:w="7196" w:type="dxa"/>
          </w:tcPr>
          <w:p w14:paraId="50213D5D" w14:textId="77777777" w:rsidR="00B71304" w:rsidRPr="00624223" w:rsidRDefault="00B71304" w:rsidP="00624223">
            <w:pPr>
              <w:rPr>
                <w:rFonts w:asciiTheme="minorHAnsi" w:hAnsiTheme="minorHAnsi" w:cstheme="minorHAnsi"/>
                <w:sz w:val="22"/>
                <w:szCs w:val="22"/>
              </w:rPr>
            </w:pPr>
            <w:r w:rsidRPr="00624223">
              <w:rPr>
                <w:rStyle w:val="Emphasis"/>
                <w:rFonts w:asciiTheme="minorHAnsi" w:hAnsiTheme="minorHAnsi" w:cstheme="minorHAnsi"/>
                <w:b w:val="0"/>
                <w:i w:val="0"/>
                <w:sz w:val="22"/>
                <w:szCs w:val="22"/>
              </w:rPr>
              <w:t>Composite score on National Survey of Student Engagement questions related to students’ perceived gains in higher order learning outcomes</w:t>
            </w:r>
          </w:p>
        </w:tc>
        <w:tc>
          <w:tcPr>
            <w:tcW w:w="2835" w:type="dxa"/>
          </w:tcPr>
          <w:p w14:paraId="263BE60A" w14:textId="77777777" w:rsidR="00B71304" w:rsidRPr="00624223" w:rsidRDefault="00FA73E3" w:rsidP="00624223">
            <w:pPr>
              <w:rPr>
                <w:rStyle w:val="Emphasis"/>
                <w:rFonts w:asciiTheme="minorHAnsi" w:hAnsiTheme="minorHAnsi" w:cstheme="minorHAnsi"/>
                <w:b w:val="0"/>
                <w:i w:val="0"/>
                <w:sz w:val="22"/>
                <w:szCs w:val="22"/>
              </w:rPr>
            </w:pPr>
            <w:r>
              <w:rPr>
                <w:rStyle w:val="Emphasis"/>
                <w:rFonts w:asciiTheme="minorHAnsi" w:hAnsiTheme="minorHAnsi" w:cstheme="minorHAnsi"/>
                <w:b w:val="0"/>
                <w:i w:val="0"/>
                <w:sz w:val="22"/>
                <w:szCs w:val="22"/>
              </w:rPr>
              <w:t xml:space="preserve"> </w:t>
            </w:r>
          </w:p>
          <w:p w14:paraId="62F4CB86" w14:textId="77777777" w:rsidR="00B71304" w:rsidRPr="00624223" w:rsidRDefault="000D6F8A" w:rsidP="00624223">
            <w:pPr>
              <w:rPr>
                <w:rFonts w:asciiTheme="minorHAnsi" w:hAnsiTheme="minorHAnsi" w:cstheme="minorHAnsi"/>
                <w:sz w:val="22"/>
                <w:szCs w:val="22"/>
              </w:rPr>
            </w:pPr>
            <w:r>
              <w:rPr>
                <w:rFonts w:asciiTheme="minorHAnsi" w:hAnsiTheme="minorHAnsi" w:cstheme="minorHAnsi"/>
                <w:sz w:val="22"/>
                <w:szCs w:val="22"/>
              </w:rPr>
              <w:t>27.4</w:t>
            </w:r>
          </w:p>
        </w:tc>
      </w:tr>
      <w:tr w:rsidR="00B71304" w14:paraId="2A70F973" w14:textId="77777777" w:rsidTr="00350A0C">
        <w:tc>
          <w:tcPr>
            <w:tcW w:w="7196" w:type="dxa"/>
          </w:tcPr>
          <w:p w14:paraId="3AB156A9" w14:textId="77777777" w:rsidR="00B71304" w:rsidRPr="00624223" w:rsidRDefault="00B71304" w:rsidP="00624223">
            <w:pPr>
              <w:rPr>
                <w:rStyle w:val="Emphasis"/>
                <w:rFonts w:asciiTheme="minorHAnsi" w:hAnsiTheme="minorHAnsi" w:cstheme="minorHAnsi"/>
                <w:b w:val="0"/>
                <w:i w:val="0"/>
                <w:sz w:val="22"/>
                <w:szCs w:val="22"/>
              </w:rPr>
            </w:pPr>
            <w:r w:rsidRPr="00624223">
              <w:rPr>
                <w:rStyle w:val="Emphasis"/>
                <w:rFonts w:asciiTheme="minorHAnsi" w:hAnsiTheme="minorHAnsi" w:cstheme="minorHAnsi"/>
                <w:b w:val="0"/>
                <w:i w:val="0"/>
                <w:sz w:val="22"/>
                <w:szCs w:val="22"/>
              </w:rPr>
              <w:t>Proportion of programs with explicit curriculum maps and articulation of learning outcomes</w:t>
            </w:r>
          </w:p>
          <w:p w14:paraId="40566D55" w14:textId="77777777" w:rsidR="00B71304" w:rsidRPr="00624223" w:rsidRDefault="00B71304" w:rsidP="00624223">
            <w:pPr>
              <w:rPr>
                <w:rFonts w:asciiTheme="minorHAnsi" w:hAnsiTheme="minorHAnsi" w:cstheme="minorHAnsi"/>
                <w:sz w:val="22"/>
                <w:szCs w:val="22"/>
              </w:rPr>
            </w:pPr>
          </w:p>
        </w:tc>
        <w:tc>
          <w:tcPr>
            <w:tcW w:w="2835" w:type="dxa"/>
          </w:tcPr>
          <w:p w14:paraId="4EAD2AD9" w14:textId="77777777" w:rsidR="000D6F8A" w:rsidRDefault="000D6F8A" w:rsidP="00624223">
            <w:pPr>
              <w:rPr>
                <w:rFonts w:asciiTheme="minorHAnsi" w:hAnsiTheme="minorHAnsi" w:cstheme="minorHAnsi"/>
                <w:sz w:val="22"/>
                <w:szCs w:val="22"/>
              </w:rPr>
            </w:pPr>
          </w:p>
          <w:p w14:paraId="64519FEB" w14:textId="77777777" w:rsidR="00B71304" w:rsidRPr="00624223" w:rsidRDefault="000D6F8A" w:rsidP="00624223">
            <w:pPr>
              <w:rPr>
                <w:rFonts w:asciiTheme="minorHAnsi" w:hAnsiTheme="minorHAnsi" w:cstheme="minorHAnsi"/>
                <w:sz w:val="22"/>
                <w:szCs w:val="22"/>
              </w:rPr>
            </w:pPr>
            <w:r>
              <w:rPr>
                <w:rFonts w:asciiTheme="minorHAnsi" w:hAnsiTheme="minorHAnsi" w:cstheme="minorHAnsi"/>
                <w:sz w:val="22"/>
                <w:szCs w:val="22"/>
              </w:rPr>
              <w:t>32%</w:t>
            </w:r>
            <w:r w:rsidR="00FA73E3">
              <w:rPr>
                <w:rFonts w:asciiTheme="minorHAnsi" w:hAnsiTheme="minorHAnsi" w:cstheme="minorHAnsi"/>
                <w:sz w:val="22"/>
                <w:szCs w:val="22"/>
              </w:rPr>
              <w:t xml:space="preserve"> </w:t>
            </w:r>
          </w:p>
        </w:tc>
      </w:tr>
      <w:tr w:rsidR="00B71304" w14:paraId="04E6D75F" w14:textId="77777777" w:rsidTr="00350A0C">
        <w:tc>
          <w:tcPr>
            <w:tcW w:w="7196" w:type="dxa"/>
          </w:tcPr>
          <w:p w14:paraId="4B1E8D04" w14:textId="77777777" w:rsidR="00B71304" w:rsidRPr="00624223" w:rsidRDefault="00B71304" w:rsidP="00624223">
            <w:pPr>
              <w:rPr>
                <w:rStyle w:val="Emphasis"/>
                <w:rFonts w:asciiTheme="minorHAnsi" w:hAnsiTheme="minorHAnsi" w:cstheme="minorHAnsi"/>
                <w:b w:val="0"/>
                <w:i w:val="0"/>
                <w:sz w:val="22"/>
                <w:szCs w:val="22"/>
              </w:rPr>
            </w:pPr>
            <w:r w:rsidRPr="00624223">
              <w:rPr>
                <w:rStyle w:val="Emphasis"/>
                <w:rFonts w:asciiTheme="minorHAnsi" w:hAnsiTheme="minorHAnsi" w:cstheme="minorHAnsi"/>
                <w:b w:val="0"/>
                <w:i w:val="0"/>
                <w:sz w:val="22"/>
                <w:szCs w:val="22"/>
              </w:rPr>
              <w:t xml:space="preserve">Graduation rate (from the Consortium for Student Retention Data Exchange) </w:t>
            </w:r>
          </w:p>
          <w:p w14:paraId="6E149CEE" w14:textId="77777777" w:rsidR="00B71304" w:rsidRPr="00624223" w:rsidRDefault="00B71304" w:rsidP="00350A0C">
            <w:pPr>
              <w:rPr>
                <w:rFonts w:asciiTheme="minorHAnsi" w:hAnsiTheme="minorHAnsi" w:cstheme="minorHAnsi"/>
                <w:sz w:val="22"/>
                <w:szCs w:val="22"/>
              </w:rPr>
            </w:pPr>
          </w:p>
        </w:tc>
        <w:tc>
          <w:tcPr>
            <w:tcW w:w="2835" w:type="dxa"/>
          </w:tcPr>
          <w:p w14:paraId="27D5456E" w14:textId="77777777" w:rsidR="000D6F8A" w:rsidRDefault="000D6F8A" w:rsidP="00350A0C">
            <w:pPr>
              <w:rPr>
                <w:rStyle w:val="Emphasis"/>
                <w:rFonts w:asciiTheme="minorHAnsi" w:hAnsiTheme="minorHAnsi" w:cstheme="minorHAnsi"/>
                <w:b w:val="0"/>
                <w:i w:val="0"/>
                <w:sz w:val="22"/>
                <w:szCs w:val="22"/>
              </w:rPr>
            </w:pPr>
          </w:p>
          <w:p w14:paraId="3BD56740" w14:textId="77777777" w:rsidR="00B71304" w:rsidRPr="00624223" w:rsidRDefault="000D6F8A" w:rsidP="00350A0C">
            <w:pPr>
              <w:rPr>
                <w:rFonts w:asciiTheme="minorHAnsi" w:hAnsiTheme="minorHAnsi" w:cstheme="minorHAnsi"/>
                <w:sz w:val="22"/>
                <w:szCs w:val="22"/>
              </w:rPr>
            </w:pPr>
            <w:r>
              <w:rPr>
                <w:rStyle w:val="Emphasis"/>
                <w:rFonts w:asciiTheme="minorHAnsi" w:hAnsiTheme="minorHAnsi" w:cstheme="minorHAnsi"/>
                <w:b w:val="0"/>
                <w:i w:val="0"/>
                <w:sz w:val="22"/>
                <w:szCs w:val="22"/>
              </w:rPr>
              <w:t>60%</w:t>
            </w:r>
            <w:r w:rsidR="00FA73E3">
              <w:rPr>
                <w:rStyle w:val="Emphasis"/>
                <w:rFonts w:asciiTheme="minorHAnsi" w:hAnsiTheme="minorHAnsi" w:cstheme="minorHAnsi"/>
                <w:b w:val="0"/>
                <w:i w:val="0"/>
                <w:sz w:val="22"/>
                <w:szCs w:val="22"/>
              </w:rPr>
              <w:t xml:space="preserve"> </w:t>
            </w:r>
          </w:p>
        </w:tc>
      </w:tr>
    </w:tbl>
    <w:p w14:paraId="26E1182D" w14:textId="77777777" w:rsidR="00B71304" w:rsidRDefault="00B71304" w:rsidP="00624223"/>
    <w:tbl>
      <w:tblPr>
        <w:tblStyle w:val="TableGrid1"/>
        <w:tblW w:w="0" w:type="auto"/>
        <w:tblLook w:val="04A0" w:firstRow="1" w:lastRow="0" w:firstColumn="1" w:lastColumn="0" w:noHBand="0" w:noVBand="1"/>
      </w:tblPr>
      <w:tblGrid>
        <w:gridCol w:w="7196"/>
        <w:gridCol w:w="2835"/>
      </w:tblGrid>
      <w:tr w:rsidR="00B71304" w14:paraId="0E2E2332" w14:textId="77777777" w:rsidTr="00350A0C">
        <w:tc>
          <w:tcPr>
            <w:tcW w:w="7196" w:type="dxa"/>
          </w:tcPr>
          <w:p w14:paraId="246946D3" w14:textId="77777777" w:rsidR="00B71304" w:rsidRPr="000906CB" w:rsidRDefault="00B71304" w:rsidP="00FA73E3">
            <w:pPr>
              <w:jc w:val="center"/>
              <w:rPr>
                <w:rFonts w:asciiTheme="minorHAnsi" w:hAnsiTheme="minorHAnsi" w:cstheme="minorHAnsi"/>
                <w:b/>
                <w:sz w:val="24"/>
                <w:szCs w:val="24"/>
              </w:rPr>
            </w:pPr>
            <w:r w:rsidRPr="000906CB">
              <w:rPr>
                <w:rFonts w:asciiTheme="minorHAnsi" w:hAnsiTheme="minorHAnsi" w:cstheme="minorHAnsi"/>
                <w:b/>
                <w:sz w:val="24"/>
                <w:szCs w:val="24"/>
              </w:rPr>
              <w:t>Institution</w:t>
            </w:r>
            <w:r w:rsidR="00FA73E3">
              <w:rPr>
                <w:rFonts w:asciiTheme="minorHAnsi" w:hAnsiTheme="minorHAnsi" w:cstheme="minorHAnsi"/>
                <w:b/>
                <w:sz w:val="24"/>
                <w:szCs w:val="24"/>
              </w:rPr>
              <w:t>-Specific</w:t>
            </w:r>
            <w:r w:rsidRPr="000906CB">
              <w:rPr>
                <w:rFonts w:asciiTheme="minorHAnsi" w:hAnsiTheme="minorHAnsi" w:cstheme="minorHAnsi"/>
                <w:b/>
                <w:sz w:val="24"/>
                <w:szCs w:val="24"/>
              </w:rPr>
              <w:t xml:space="preserve"> Metrics</w:t>
            </w:r>
          </w:p>
        </w:tc>
        <w:tc>
          <w:tcPr>
            <w:tcW w:w="2835" w:type="dxa"/>
          </w:tcPr>
          <w:p w14:paraId="75CEC346" w14:textId="77777777" w:rsidR="00B71304" w:rsidRPr="000906CB" w:rsidRDefault="00B71304" w:rsidP="00350A0C">
            <w:pPr>
              <w:jc w:val="center"/>
              <w:rPr>
                <w:rFonts w:asciiTheme="minorHAnsi" w:hAnsiTheme="minorHAnsi" w:cstheme="minorHAnsi"/>
                <w:b/>
                <w:sz w:val="24"/>
                <w:szCs w:val="24"/>
              </w:rPr>
            </w:pPr>
            <w:r w:rsidRPr="000906CB">
              <w:rPr>
                <w:rFonts w:asciiTheme="minorHAnsi" w:hAnsiTheme="minorHAnsi" w:cstheme="minorHAnsi"/>
                <w:b/>
                <w:sz w:val="24"/>
                <w:szCs w:val="24"/>
              </w:rPr>
              <w:t>2019-20 Target</w:t>
            </w:r>
          </w:p>
          <w:p w14:paraId="18263E3B" w14:textId="77777777" w:rsidR="00B71304" w:rsidRPr="000906CB" w:rsidRDefault="00B71304" w:rsidP="00350A0C">
            <w:pPr>
              <w:jc w:val="center"/>
              <w:rPr>
                <w:rFonts w:asciiTheme="minorHAnsi" w:hAnsiTheme="minorHAnsi" w:cstheme="minorHAnsi"/>
                <w:b/>
                <w:sz w:val="24"/>
                <w:szCs w:val="24"/>
              </w:rPr>
            </w:pPr>
          </w:p>
        </w:tc>
      </w:tr>
      <w:tr w:rsidR="00B71304" w14:paraId="77AB21F4" w14:textId="77777777" w:rsidTr="00350A0C">
        <w:tc>
          <w:tcPr>
            <w:tcW w:w="7196" w:type="dxa"/>
          </w:tcPr>
          <w:p w14:paraId="1B08ECC3" w14:textId="77777777" w:rsidR="008922E0" w:rsidRPr="00624223" w:rsidRDefault="000D6F8A" w:rsidP="000D6F8A">
            <w:pPr>
              <w:pStyle w:val="Tablebullet"/>
              <w:numPr>
                <w:ilvl w:val="0"/>
                <w:numId w:val="0"/>
              </w:numPr>
              <w:spacing w:before="40" w:after="40"/>
              <w:ind w:left="218"/>
              <w:rPr>
                <w:rStyle w:val="Emphasis"/>
                <w:rFonts w:asciiTheme="minorHAnsi" w:hAnsiTheme="minorHAnsi" w:cstheme="minorHAnsi"/>
                <w:b w:val="0"/>
                <w:i w:val="0"/>
                <w:sz w:val="22"/>
                <w:szCs w:val="22"/>
              </w:rPr>
            </w:pPr>
            <w:r>
              <w:rPr>
                <w:rStyle w:val="Emphasis"/>
                <w:b w:val="0"/>
                <w:i w:val="0"/>
                <w:sz w:val="22"/>
                <w:szCs w:val="22"/>
              </w:rPr>
              <w:t>Teaching Recognition (awards, nominations and showcases)</w:t>
            </w:r>
          </w:p>
          <w:p w14:paraId="406FC623" w14:textId="77777777" w:rsidR="00B71304" w:rsidRPr="00624223" w:rsidRDefault="00B71304" w:rsidP="00624223">
            <w:pPr>
              <w:rPr>
                <w:rFonts w:asciiTheme="minorHAnsi" w:hAnsiTheme="minorHAnsi" w:cstheme="minorHAnsi"/>
                <w:sz w:val="22"/>
                <w:szCs w:val="22"/>
              </w:rPr>
            </w:pPr>
          </w:p>
        </w:tc>
        <w:tc>
          <w:tcPr>
            <w:tcW w:w="2835" w:type="dxa"/>
          </w:tcPr>
          <w:p w14:paraId="1B1109A1" w14:textId="77777777" w:rsidR="00B71304" w:rsidRPr="00624223" w:rsidRDefault="00FA73E3" w:rsidP="000D6F8A">
            <w:pPr>
              <w:rPr>
                <w:rFonts w:asciiTheme="minorHAnsi" w:hAnsiTheme="minorHAnsi" w:cstheme="minorHAnsi"/>
                <w:sz w:val="22"/>
                <w:szCs w:val="22"/>
              </w:rPr>
            </w:pPr>
            <w:r>
              <w:rPr>
                <w:rStyle w:val="Emphasis"/>
                <w:rFonts w:asciiTheme="minorHAnsi" w:hAnsiTheme="minorHAnsi" w:cstheme="minorHAnsi"/>
                <w:b w:val="0"/>
                <w:i w:val="0"/>
                <w:sz w:val="22"/>
                <w:szCs w:val="22"/>
              </w:rPr>
              <w:t xml:space="preserve"> </w:t>
            </w:r>
            <w:r w:rsidR="000D6F8A">
              <w:rPr>
                <w:rFonts w:asciiTheme="minorHAnsi" w:hAnsiTheme="minorHAnsi" w:cstheme="minorHAnsi"/>
                <w:sz w:val="22"/>
                <w:szCs w:val="22"/>
              </w:rPr>
              <w:t>13</w:t>
            </w:r>
          </w:p>
        </w:tc>
      </w:tr>
      <w:tr w:rsidR="00B71304" w14:paraId="6E6C39D7" w14:textId="77777777" w:rsidTr="00350A0C">
        <w:tc>
          <w:tcPr>
            <w:tcW w:w="7196" w:type="dxa"/>
          </w:tcPr>
          <w:p w14:paraId="7B427DE1" w14:textId="77777777" w:rsidR="000D6F8A" w:rsidRPr="008909F3" w:rsidRDefault="000D6F8A" w:rsidP="000D6F8A">
            <w:pPr>
              <w:pStyle w:val="Tablebullet"/>
              <w:numPr>
                <w:ilvl w:val="0"/>
                <w:numId w:val="0"/>
              </w:numPr>
              <w:spacing w:before="40" w:after="40"/>
              <w:ind w:left="218"/>
              <w:rPr>
                <w:rStyle w:val="Emphasis"/>
                <w:b w:val="0"/>
                <w:i w:val="0"/>
                <w:sz w:val="22"/>
                <w:szCs w:val="22"/>
              </w:rPr>
            </w:pPr>
            <w:r>
              <w:rPr>
                <w:rStyle w:val="Emphasis"/>
                <w:b w:val="0"/>
                <w:i w:val="0"/>
                <w:sz w:val="22"/>
                <w:szCs w:val="22"/>
              </w:rPr>
              <w:t>Teaching Innovations and Enhancements (One change challenge reports, teaching pilots, number of consultations with faculty, number of consultations with departments, PD attendees, special curriculum events)</w:t>
            </w:r>
          </w:p>
          <w:p w14:paraId="40E424D6" w14:textId="77777777" w:rsidR="008922E0" w:rsidRPr="00624223" w:rsidRDefault="008922E0" w:rsidP="00624223">
            <w:pPr>
              <w:rPr>
                <w:rStyle w:val="Emphasis"/>
                <w:rFonts w:asciiTheme="minorHAnsi" w:hAnsiTheme="minorHAnsi" w:cstheme="minorHAnsi"/>
                <w:b w:val="0"/>
                <w:i w:val="0"/>
                <w:sz w:val="22"/>
                <w:szCs w:val="22"/>
              </w:rPr>
            </w:pPr>
          </w:p>
          <w:p w14:paraId="0B660893" w14:textId="77777777" w:rsidR="00B71304" w:rsidRPr="00624223" w:rsidRDefault="00B71304" w:rsidP="00624223">
            <w:pPr>
              <w:rPr>
                <w:rFonts w:asciiTheme="minorHAnsi" w:hAnsiTheme="minorHAnsi" w:cstheme="minorHAnsi"/>
                <w:sz w:val="22"/>
                <w:szCs w:val="22"/>
              </w:rPr>
            </w:pPr>
          </w:p>
        </w:tc>
        <w:tc>
          <w:tcPr>
            <w:tcW w:w="2835" w:type="dxa"/>
          </w:tcPr>
          <w:p w14:paraId="6463B948" w14:textId="77777777" w:rsidR="008922E0" w:rsidRPr="00624223" w:rsidRDefault="000D6F8A" w:rsidP="00624223">
            <w:pPr>
              <w:rPr>
                <w:rStyle w:val="Emphasis"/>
                <w:rFonts w:asciiTheme="minorHAnsi" w:hAnsiTheme="minorHAnsi" w:cstheme="minorHAnsi"/>
                <w:b w:val="0"/>
                <w:i w:val="0"/>
                <w:sz w:val="22"/>
                <w:szCs w:val="22"/>
              </w:rPr>
            </w:pPr>
            <w:r>
              <w:rPr>
                <w:rStyle w:val="Emphasis"/>
                <w:rFonts w:asciiTheme="minorHAnsi" w:hAnsiTheme="minorHAnsi" w:cstheme="minorHAnsi"/>
                <w:b w:val="0"/>
                <w:i w:val="0"/>
                <w:sz w:val="22"/>
                <w:szCs w:val="22"/>
              </w:rPr>
              <w:t>346</w:t>
            </w:r>
            <w:r w:rsidR="00FA73E3">
              <w:rPr>
                <w:rStyle w:val="Emphasis"/>
                <w:rFonts w:asciiTheme="minorHAnsi" w:hAnsiTheme="minorHAnsi" w:cstheme="minorHAnsi"/>
                <w:b w:val="0"/>
                <w:i w:val="0"/>
                <w:sz w:val="22"/>
                <w:szCs w:val="22"/>
              </w:rPr>
              <w:t xml:space="preserve"> </w:t>
            </w:r>
          </w:p>
          <w:p w14:paraId="60C7DCBD" w14:textId="77777777" w:rsidR="00B71304" w:rsidRPr="00624223" w:rsidRDefault="00B71304" w:rsidP="00624223">
            <w:pPr>
              <w:rPr>
                <w:rFonts w:asciiTheme="minorHAnsi" w:hAnsiTheme="minorHAnsi" w:cstheme="minorHAnsi"/>
                <w:sz w:val="22"/>
                <w:szCs w:val="22"/>
              </w:rPr>
            </w:pPr>
          </w:p>
        </w:tc>
      </w:tr>
      <w:tr w:rsidR="00B71304" w14:paraId="5E980033" w14:textId="77777777" w:rsidTr="00350A0C">
        <w:tc>
          <w:tcPr>
            <w:tcW w:w="7196" w:type="dxa"/>
          </w:tcPr>
          <w:p w14:paraId="48F3DE9F" w14:textId="77777777" w:rsidR="00B71304" w:rsidRPr="000D6F8A" w:rsidRDefault="00FA73E3" w:rsidP="00624223">
            <w:pPr>
              <w:rPr>
                <w:rFonts w:asciiTheme="minorHAnsi" w:hAnsiTheme="minorHAnsi" w:cstheme="minorHAnsi"/>
                <w:sz w:val="22"/>
                <w:szCs w:val="22"/>
              </w:rPr>
            </w:pPr>
            <w:r w:rsidRPr="000D6F8A">
              <w:rPr>
                <w:rStyle w:val="Emphasis"/>
                <w:rFonts w:asciiTheme="minorHAnsi" w:hAnsiTheme="minorHAnsi" w:cstheme="minorHAnsi"/>
                <w:b w:val="0"/>
                <w:i w:val="0"/>
                <w:sz w:val="22"/>
                <w:szCs w:val="22"/>
              </w:rPr>
              <w:t xml:space="preserve"> </w:t>
            </w:r>
            <w:r w:rsidR="000D6F8A" w:rsidRPr="000D6F8A">
              <w:rPr>
                <w:rStyle w:val="Emphasis"/>
                <w:rFonts w:asciiTheme="minorHAnsi" w:hAnsiTheme="minorHAnsi" w:cstheme="minorHAnsi"/>
                <w:b w:val="0"/>
                <w:i w:val="0"/>
                <w:sz w:val="22"/>
                <w:szCs w:val="22"/>
              </w:rPr>
              <w:t>Number of internships, placements, co-op placements, and experiential learning spaces</w:t>
            </w:r>
          </w:p>
        </w:tc>
        <w:tc>
          <w:tcPr>
            <w:tcW w:w="2835" w:type="dxa"/>
          </w:tcPr>
          <w:p w14:paraId="4EB05ACB" w14:textId="77777777" w:rsidR="00B71304" w:rsidRPr="00624223" w:rsidRDefault="000D6F8A" w:rsidP="00624223">
            <w:pPr>
              <w:rPr>
                <w:rFonts w:asciiTheme="minorHAnsi" w:hAnsiTheme="minorHAnsi" w:cstheme="minorHAnsi"/>
                <w:sz w:val="22"/>
                <w:szCs w:val="22"/>
              </w:rPr>
            </w:pPr>
            <w:r>
              <w:rPr>
                <w:rStyle w:val="Emphasis"/>
                <w:rFonts w:asciiTheme="minorHAnsi" w:hAnsiTheme="minorHAnsi" w:cstheme="minorHAnsi"/>
                <w:b w:val="0"/>
                <w:i w:val="0"/>
                <w:sz w:val="22"/>
                <w:szCs w:val="22"/>
              </w:rPr>
              <w:t>TBD</w:t>
            </w:r>
          </w:p>
        </w:tc>
      </w:tr>
    </w:tbl>
    <w:p w14:paraId="7D7B4112" w14:textId="7572DB14" w:rsidR="00F03314" w:rsidRDefault="00F03314">
      <w:pPr>
        <w:rPr>
          <w:rFonts w:asciiTheme="majorHAnsi" w:eastAsiaTheme="majorEastAsia" w:hAnsiTheme="majorHAnsi" w:cstheme="majorBidi"/>
          <w:spacing w:val="5"/>
          <w:sz w:val="52"/>
          <w:szCs w:val="52"/>
        </w:rPr>
      </w:pPr>
    </w:p>
    <w:p w14:paraId="7C7C48D8" w14:textId="77777777" w:rsidR="00D3445B" w:rsidRPr="00D3445B" w:rsidRDefault="00D3445B" w:rsidP="00ED423E">
      <w:pPr>
        <w:pStyle w:val="Title"/>
        <w:numPr>
          <w:ilvl w:val="0"/>
          <w:numId w:val="8"/>
        </w:numPr>
      </w:pPr>
      <w:r>
        <w:t>A</w:t>
      </w:r>
      <w:r w:rsidR="006B5E28">
        <w:t>ccess and Equity</w:t>
      </w:r>
    </w:p>
    <w:p w14:paraId="470389AB" w14:textId="77777777" w:rsidR="004B13D0" w:rsidRPr="00101282" w:rsidRDefault="004B13D0" w:rsidP="006B5E28">
      <w:pPr>
        <w:rPr>
          <w:b/>
          <w:i/>
        </w:rPr>
      </w:pPr>
      <w:r w:rsidRPr="00101282">
        <w:rPr>
          <w:i/>
        </w:rPr>
        <w:t xml:space="preserve">This section recognizes institutions for their efforts in improving postsecondary education equity and access. Institutions play an important role in providing equitable and inclusive environments that make it possible for students from diverse communities to thrive and succeed. </w:t>
      </w:r>
    </w:p>
    <w:p w14:paraId="6DC5410E" w14:textId="77777777" w:rsidR="004B13D0" w:rsidRPr="00101282" w:rsidRDefault="004B13D0" w:rsidP="006B5E28">
      <w:pPr>
        <w:rPr>
          <w:i/>
        </w:rPr>
      </w:pPr>
      <w:r w:rsidRPr="00101282">
        <w:rPr>
          <w:i/>
        </w:rPr>
        <w:t>Institutions will also be recognized for creating equitable access opportunities that can include multiple entrance pathways and flexible policies and programming, with the focus on students who, without interventions and support, would not otherwise participate in postsecondary education. Examples include outreach to marginalized youth, transition, bridging and access programs for adults with atypical education histories</w:t>
      </w:r>
      <w:r w:rsidR="005867E2" w:rsidRPr="00101282">
        <w:rPr>
          <w:i/>
        </w:rPr>
        <w:t xml:space="preserve"> and who do not meet admission requirements</w:t>
      </w:r>
      <w:r w:rsidRPr="00101282">
        <w:rPr>
          <w:i/>
        </w:rPr>
        <w:t>.</w:t>
      </w:r>
    </w:p>
    <w:p w14:paraId="435DB16B" w14:textId="77777777" w:rsidR="00540F58" w:rsidRPr="00540F58" w:rsidRDefault="00D3445B" w:rsidP="00ED423E">
      <w:pPr>
        <w:pStyle w:val="Heading1"/>
      </w:pPr>
      <w:r>
        <w:t>Institutional Approach to Improving Access and Equity</w:t>
      </w:r>
    </w:p>
    <w:p w14:paraId="7C6C2F1B" w14:textId="77777777" w:rsidR="000D6F8A" w:rsidRDefault="000D6F8A" w:rsidP="000D6F8A">
      <w:r w:rsidRPr="003D3374">
        <w:t xml:space="preserve">As </w:t>
      </w:r>
      <w:r>
        <w:t xml:space="preserve">described in its Vision Statement (2010), Trent University </w:t>
      </w:r>
      <w:r w:rsidRPr="00CF0199">
        <w:t>create</w:t>
      </w:r>
      <w:r>
        <w:t>s</w:t>
      </w:r>
      <w:r w:rsidRPr="00CF0199">
        <w:t xml:space="preserve"> opportunities for students, staff and faculty to flourish and develop as individuals and as global citizens.</w:t>
      </w:r>
      <w:r w:rsidRPr="003D3374">
        <w:t xml:space="preserve"> This commitment is the basis of a </w:t>
      </w:r>
      <w:r>
        <w:t xml:space="preserve">deep </w:t>
      </w:r>
      <w:r w:rsidRPr="003D3374">
        <w:t>commitment to diversity</w:t>
      </w:r>
      <w:r>
        <w:t>,</w:t>
      </w:r>
      <w:r w:rsidRPr="003D3374">
        <w:t xml:space="preserve"> which acknowledges the need to ensure equity in employment, learning and support services. Special attention has been paid to the need to establish a communi</w:t>
      </w:r>
      <w:r>
        <w:t>ty that welcomes and supports A</w:t>
      </w:r>
      <w:r w:rsidRPr="003D3374">
        <w:t>boriginal students, faculty and staff; first</w:t>
      </w:r>
      <w:r>
        <w:t>-</w:t>
      </w:r>
      <w:r w:rsidRPr="003D3374">
        <w:t>generation postsecondary students; women; membe</w:t>
      </w:r>
      <w:r>
        <w:t>rs of the LGBTQ community; and I</w:t>
      </w:r>
      <w:r w:rsidRPr="003D3374">
        <w:t>nternational students.</w:t>
      </w:r>
      <w:r>
        <w:t xml:space="preserve"> Trent is also working to attract more men to programs where they have been underrepresented.</w:t>
      </w:r>
    </w:p>
    <w:p w14:paraId="5D582BD2" w14:textId="77777777" w:rsidR="000D6F8A" w:rsidRDefault="000D6F8A" w:rsidP="000D6F8A">
      <w:pPr>
        <w:rPr>
          <w:color w:val="000000"/>
        </w:rPr>
      </w:pPr>
      <w:r>
        <w:rPr>
          <w:color w:val="000000"/>
        </w:rPr>
        <w:t xml:space="preserve">Trent embraces an environmental model of disability, as operationalized by the World Health Organization’s definition of disability. This model views disabilities as social and environmental barriers and not as individual deficits. Trent strives to remove social barriers through education and environmental barriers through identification and removal and promotes full participation by all community members, regardless of ability.  </w:t>
      </w:r>
    </w:p>
    <w:p w14:paraId="1A9611CD" w14:textId="22CC51FB" w:rsidR="000D6F8A" w:rsidRDefault="000D6F8A" w:rsidP="000D6F8A">
      <w:pPr>
        <w:rPr>
          <w:i/>
        </w:rPr>
      </w:pPr>
      <w:r w:rsidRPr="006D78A2">
        <w:t>In its attempts to improve access and equity</w:t>
      </w:r>
      <w:r>
        <w:t>,</w:t>
      </w:r>
      <w:r w:rsidRPr="006D78A2">
        <w:t xml:space="preserve"> Trent has reached out to colleges, other universities and international institutions. To support its aim of being a transfer</w:t>
      </w:r>
      <w:r>
        <w:t>-</w:t>
      </w:r>
      <w:r w:rsidRPr="006D78A2">
        <w:t xml:space="preserve">friendly institution, Trent hired a dedicated </w:t>
      </w:r>
      <w:r>
        <w:t>c</w:t>
      </w:r>
      <w:r w:rsidRPr="006D78A2">
        <w:t xml:space="preserve">ollege recruiter and a </w:t>
      </w:r>
      <w:r>
        <w:t>f</w:t>
      </w:r>
      <w:r w:rsidRPr="006D78A2">
        <w:t>ull</w:t>
      </w:r>
      <w:r>
        <w:t>-</w:t>
      </w:r>
      <w:r w:rsidRPr="006D78A2">
        <w:t xml:space="preserve">time </w:t>
      </w:r>
      <w:r>
        <w:t>a</w:t>
      </w:r>
      <w:r w:rsidRPr="006D78A2">
        <w:t xml:space="preserve">rticulation coordinator in 2015. The results at Trent’s </w:t>
      </w:r>
      <w:r>
        <w:t xml:space="preserve">Durham </w:t>
      </w:r>
      <w:r w:rsidRPr="006D78A2">
        <w:t>GTA campus are particularly notable. In September 2016, 60</w:t>
      </w:r>
      <w:r>
        <w:t xml:space="preserve"> per cent</w:t>
      </w:r>
      <w:r w:rsidRPr="006D78A2">
        <w:t xml:space="preserve"> of Trent Durham</w:t>
      </w:r>
      <w:r>
        <w:t xml:space="preserve"> GTA</w:t>
      </w:r>
      <w:r w:rsidRPr="006D78A2">
        <w:t>’s students had applied as 105 applications.</w:t>
      </w:r>
      <w:r>
        <w:rPr>
          <w:rStyle w:val="FootnoteReference"/>
        </w:rPr>
        <w:footnoteReference w:id="3"/>
      </w:r>
      <w:r w:rsidRPr="006D78A2">
        <w:t xml:space="preserve"> With the signing of a M</w:t>
      </w:r>
      <w:r>
        <w:t>emorandum of Understanding (M</w:t>
      </w:r>
      <w:r w:rsidRPr="006D78A2">
        <w:t>OU</w:t>
      </w:r>
      <w:r>
        <w:t>)</w:t>
      </w:r>
      <w:r w:rsidRPr="006D78A2">
        <w:t xml:space="preserve"> with Centennial College, Trent will continue to develop new partnerships that support seamless student mobility. An international agreement with Centennial and Suzhou Centennial College in Beijing is being discussed. Trent collaborates with other colle</w:t>
      </w:r>
      <w:r>
        <w:t xml:space="preserve">ges and universities in Ontario, nationally </w:t>
      </w:r>
      <w:r w:rsidRPr="006D78A2">
        <w:t xml:space="preserve">and overseas on pathways in </w:t>
      </w:r>
      <w:r>
        <w:t>a number of</w:t>
      </w:r>
      <w:r w:rsidRPr="006D78A2">
        <w:t xml:space="preserve"> disciplines</w:t>
      </w:r>
      <w:r>
        <w:t xml:space="preserve"> including</w:t>
      </w:r>
      <w:r w:rsidRPr="006D78A2">
        <w:t xml:space="preserve">: Environmental Science, Biotechnology, </w:t>
      </w:r>
      <w:r>
        <w:t xml:space="preserve">Indigenous Education, </w:t>
      </w:r>
      <w:r w:rsidRPr="006D78A2">
        <w:t>Practical Nursing, Business Administration, Law, Social Services</w:t>
      </w:r>
      <w:r>
        <w:t xml:space="preserve"> and General Arts </w:t>
      </w:r>
      <w:r w:rsidR="00D11D06">
        <w:t>and</w:t>
      </w:r>
      <w:r>
        <w:t xml:space="preserve"> Sciences</w:t>
      </w:r>
      <w:r w:rsidRPr="006D78A2">
        <w:t>.</w:t>
      </w:r>
    </w:p>
    <w:p w14:paraId="0A359847" w14:textId="77777777" w:rsidR="00E206D9" w:rsidRPr="00287C3A" w:rsidRDefault="00FA73E3" w:rsidP="00E206D9">
      <w:r>
        <w:t xml:space="preserve"> </w:t>
      </w:r>
    </w:p>
    <w:p w14:paraId="451F951D" w14:textId="77777777" w:rsidR="00E206D9" w:rsidRPr="006B5E28" w:rsidRDefault="00E206D9" w:rsidP="00ED423E">
      <w:pPr>
        <w:pStyle w:val="Heading1"/>
        <w:rPr>
          <w:i/>
        </w:rPr>
      </w:pPr>
      <w:r>
        <w:t xml:space="preserve">Examples of Institutional Initiatives </w:t>
      </w:r>
    </w:p>
    <w:p w14:paraId="67A851A6" w14:textId="77777777" w:rsidR="000D6F8A" w:rsidRPr="000D6F8A" w:rsidRDefault="000D6F8A" w:rsidP="000D6F8A">
      <w:pPr>
        <w:rPr>
          <w:b/>
        </w:rPr>
      </w:pPr>
      <w:r w:rsidRPr="000D6F8A">
        <w:rPr>
          <w:b/>
        </w:rPr>
        <w:t xml:space="preserve">Transfer Agreements and Flexible Pathways </w:t>
      </w:r>
    </w:p>
    <w:p w14:paraId="3F513E86" w14:textId="77777777" w:rsidR="000D6F8A" w:rsidRPr="000D6F8A" w:rsidRDefault="000D6F8A" w:rsidP="000D6F8A">
      <w:r w:rsidRPr="000D6F8A">
        <w:t xml:space="preserve">With more than 60 transfer agreements and flexible pathway options for college and university students, Trent University strives to be the most transfer-friendly institution in Ontario.  </w:t>
      </w:r>
    </w:p>
    <w:p w14:paraId="2AD85FC4" w14:textId="77777777" w:rsidR="000D6F8A" w:rsidRPr="000D6F8A" w:rsidRDefault="000D6F8A" w:rsidP="000D6F8A">
      <w:pPr>
        <w:rPr>
          <w:b/>
        </w:rPr>
      </w:pPr>
      <w:r w:rsidRPr="000D6F8A">
        <w:rPr>
          <w:b/>
        </w:rPr>
        <w:t>Aboriginal Students</w:t>
      </w:r>
    </w:p>
    <w:p w14:paraId="49DEA7D0" w14:textId="77777777" w:rsidR="000D6F8A" w:rsidRPr="000D6F8A" w:rsidRDefault="000D6F8A" w:rsidP="000D6F8A">
      <w:pPr>
        <w:rPr>
          <w:i/>
        </w:rPr>
      </w:pPr>
      <w:r w:rsidRPr="000D6F8A">
        <w:t>In 2016-17, 2.8 per cent of the full-time student population declared as Aboriginal (253 students), with an additional 31 part-time Aboriginal students. Trent’s First Peoples’ House of Learning has developed extensive programming to increase enrolments and retention of Indigenous students.</w:t>
      </w:r>
    </w:p>
    <w:p w14:paraId="7DD8A695" w14:textId="77777777" w:rsidR="000D6F8A" w:rsidRPr="000D6F8A" w:rsidRDefault="000D6F8A" w:rsidP="000D6F8A">
      <w:pPr>
        <w:rPr>
          <w:b/>
        </w:rPr>
      </w:pPr>
      <w:r w:rsidRPr="000D6F8A">
        <w:rPr>
          <w:b/>
        </w:rPr>
        <w:t>First-Generation Postsecondary Students</w:t>
      </w:r>
    </w:p>
    <w:p w14:paraId="7B7BA207" w14:textId="77777777" w:rsidR="000D6F8A" w:rsidRPr="000D6F8A" w:rsidRDefault="000D6F8A" w:rsidP="000D6F8A">
      <w:pPr>
        <w:rPr>
          <w:i/>
        </w:rPr>
      </w:pPr>
      <w:r w:rsidRPr="000D6F8A">
        <w:rPr>
          <w:i/>
        </w:rPr>
        <w:t xml:space="preserve"> </w:t>
      </w:r>
      <w:r w:rsidRPr="000D6F8A">
        <w:t xml:space="preserve">In 2016-17, the total number of full-time first-generation postsecondary students enrolled at Trent was 940 or 10.5 per cent, with an additional 150 part-time first-generation students. To support these students, Trent has enhanced its New Student Summer Orientation program. The Rebound student peer support program for students who are struggling academically was launched in 2013 with the assistance of the Ministry of Advanced Education and Skills Development (MAESD, formerly called the Ministry of Training, Colleges and Universities) First-Generation Grant. In the 2016-17 academic year, this program provided support to over 200 students, doubling the number from the previous academic year.  </w:t>
      </w:r>
    </w:p>
    <w:p w14:paraId="5103E924" w14:textId="77777777" w:rsidR="000D6F8A" w:rsidRPr="000D6F8A" w:rsidRDefault="000D6F8A" w:rsidP="000D6F8A">
      <w:pPr>
        <w:rPr>
          <w:b/>
        </w:rPr>
      </w:pPr>
      <w:r w:rsidRPr="000D6F8A">
        <w:rPr>
          <w:b/>
        </w:rPr>
        <w:t xml:space="preserve">LGBTQ Students </w:t>
      </w:r>
    </w:p>
    <w:p w14:paraId="1E13FAFF" w14:textId="77777777" w:rsidR="000D6F8A" w:rsidRPr="000D6F8A" w:rsidRDefault="000D6F8A" w:rsidP="000D6F8A">
      <w:r w:rsidRPr="000D6F8A">
        <w:t>Out on Campus is a confidential weekly group meeting for students who are grappling with LGBTQ identity and coming out issues. The program is now in its second year, with facilitators meeting between five and 10 students at each weekly meeting. In a 2015 Equity and Diversity Survey, 21.5 per cent of students and 11.4 per cent of employees self-identified as lesbian, gay, bisexual, pansexual, queer or questioning.</w:t>
      </w:r>
    </w:p>
    <w:p w14:paraId="7F90D835" w14:textId="77777777" w:rsidR="000D6F8A" w:rsidRPr="000D6F8A" w:rsidRDefault="000D6F8A" w:rsidP="000D6F8A">
      <w:pPr>
        <w:rPr>
          <w:b/>
        </w:rPr>
      </w:pPr>
      <w:r w:rsidRPr="000D6F8A">
        <w:rPr>
          <w:b/>
        </w:rPr>
        <w:t>Camp fYrefly</w:t>
      </w:r>
    </w:p>
    <w:p w14:paraId="72C365B5" w14:textId="77777777" w:rsidR="000D6F8A" w:rsidRPr="000D6F8A" w:rsidRDefault="000D6F8A" w:rsidP="000D6F8A">
      <w:r w:rsidRPr="000D6F8A">
        <w:t>Camp fYrefly is Canada's only national leadership retreat for lesbian, gay, bisexual, trans-identified, two-spirited, intersexed, queer, questioning and allied youth. The Camp is designed to help youth develop the leadership skills and personal resiliency necessary for them to become agents for positive change in their schools, families and communities. The first Ontario camp was held at Trent this year, in co-operation with Trent’s School of Education.</w:t>
      </w:r>
    </w:p>
    <w:p w14:paraId="4D21C5B7" w14:textId="77777777" w:rsidR="000D6F8A" w:rsidRPr="000D6F8A" w:rsidRDefault="000D6F8A" w:rsidP="000D6F8A">
      <w:pPr>
        <w:rPr>
          <w:b/>
        </w:rPr>
      </w:pPr>
      <w:r w:rsidRPr="000D6F8A">
        <w:rPr>
          <w:b/>
        </w:rPr>
        <w:t>Trent International (TI)</w:t>
      </w:r>
    </w:p>
    <w:p w14:paraId="23AAEC27" w14:textId="77777777" w:rsidR="000D6F8A" w:rsidRPr="000D6F8A" w:rsidRDefault="000D6F8A" w:rsidP="000D6F8A">
      <w:r w:rsidRPr="000D6F8A">
        <w:t>Trent International recruits and provides support services and programming for international students, beginning with an orientation camp to introduce students to Canada, Ontario and Trent. As Trent aims to increase its international enrolment (to 10 and then 12 per cent), TI will continue to play an important role.</w:t>
      </w:r>
    </w:p>
    <w:p w14:paraId="6F325281" w14:textId="77777777" w:rsidR="000D6F8A" w:rsidRPr="000D6F8A" w:rsidRDefault="000D6F8A" w:rsidP="000D6F8A">
      <w:pPr>
        <w:rPr>
          <w:rFonts w:ascii="Calibri" w:hAnsi="Calibri"/>
          <w:b/>
        </w:rPr>
      </w:pPr>
      <w:r w:rsidRPr="000D6F8A">
        <w:rPr>
          <w:rFonts w:ascii="Calibri" w:hAnsi="Calibri"/>
          <w:b/>
        </w:rPr>
        <w:t>Student Refugee Program (SRP)</w:t>
      </w:r>
    </w:p>
    <w:p w14:paraId="789423DC" w14:textId="77777777" w:rsidR="000D6F8A" w:rsidRPr="000D6F8A" w:rsidRDefault="000D6F8A" w:rsidP="000D6F8A">
      <w:r w:rsidRPr="000D6F8A">
        <w:rPr>
          <w:rFonts w:ascii="Calibri" w:hAnsi="Calibri"/>
          <w:bCs/>
        </w:rPr>
        <w:t>World University Service Canada</w:t>
      </w:r>
      <w:r w:rsidRPr="000D6F8A">
        <w:rPr>
          <w:rFonts w:ascii="Calibri" w:hAnsi="Calibri"/>
          <w:b/>
          <w:bCs/>
        </w:rPr>
        <w:t xml:space="preserve"> </w:t>
      </w:r>
      <w:r w:rsidRPr="000D6F8A">
        <w:rPr>
          <w:rFonts w:ascii="Calibri" w:hAnsi="Calibri"/>
        </w:rPr>
        <w:t>committees take various forms across the country. At Trent, international students have been particularly active in its SRP, supporting refugees who come to Canada and enroll at Trent.</w:t>
      </w:r>
    </w:p>
    <w:p w14:paraId="663098A5" w14:textId="77777777" w:rsidR="000D6F8A" w:rsidRPr="000D6F8A" w:rsidRDefault="000D6F8A" w:rsidP="000D6F8A">
      <w:pPr>
        <w:spacing w:after="0" w:line="240" w:lineRule="auto"/>
        <w:rPr>
          <w:rFonts w:eastAsiaTheme="minorHAnsi" w:cs="Times New Roman"/>
          <w:b/>
        </w:rPr>
      </w:pPr>
      <w:r w:rsidRPr="000D6F8A">
        <w:rPr>
          <w:rFonts w:eastAsiaTheme="minorHAnsi" w:cs="Times New Roman"/>
          <w:b/>
        </w:rPr>
        <w:t>Support for Students with Disabilities and Mental Health Support</w:t>
      </w:r>
    </w:p>
    <w:p w14:paraId="715CD72B" w14:textId="77777777" w:rsidR="000D6F8A" w:rsidRPr="000D6F8A" w:rsidRDefault="000D6F8A" w:rsidP="000D6F8A">
      <w:pPr>
        <w:spacing w:after="0" w:line="240" w:lineRule="auto"/>
        <w:rPr>
          <w:rFonts w:eastAsiaTheme="minorHAnsi" w:cs="Times New Roman"/>
          <w:i/>
        </w:rPr>
      </w:pPr>
    </w:p>
    <w:p w14:paraId="11B775AC" w14:textId="77777777" w:rsidR="000D6F8A" w:rsidRPr="000D6F8A" w:rsidRDefault="000D6F8A" w:rsidP="000D6F8A">
      <w:pPr>
        <w:spacing w:after="0" w:line="240" w:lineRule="auto"/>
        <w:rPr>
          <w:rFonts w:ascii="Times New Roman" w:eastAsiaTheme="minorHAnsi" w:hAnsi="Times New Roman" w:cs="Times New Roman"/>
        </w:rPr>
      </w:pPr>
      <w:r w:rsidRPr="000D6F8A">
        <w:rPr>
          <w:rFonts w:eastAsiaTheme="minorHAnsi" w:cs="Times New Roman"/>
        </w:rPr>
        <w:t>Trent has a high percentage of students with disabilities (13.4 per cent of students self-identified as having a disability when completing the 2015 Equity Survey). A number of programs have been designed to help with early identification, peer support and coaching for students in difficulty (including a Disability Peer Coaching program) and to train students, faculty and staff in mental health issues, student accommodations, student support, bystander intervention and suicide prevention.</w:t>
      </w:r>
    </w:p>
    <w:p w14:paraId="575ED511" w14:textId="342D2B3A" w:rsidR="00E206D9" w:rsidRPr="00101282" w:rsidRDefault="00FA73E3" w:rsidP="00E206D9">
      <w:pPr>
        <w:rPr>
          <w:u w:val="single"/>
        </w:rPr>
      </w:pPr>
      <w:r>
        <w:rPr>
          <w:u w:val="single"/>
        </w:rPr>
        <w:t xml:space="preserve"> </w:t>
      </w:r>
    </w:p>
    <w:p w14:paraId="6C20D8D8" w14:textId="77777777" w:rsidR="001B6963" w:rsidRDefault="00D3445B" w:rsidP="00ED423E">
      <w:pPr>
        <w:pStyle w:val="Heading1"/>
      </w:pPr>
      <w:r w:rsidRPr="002D290D">
        <w:t>Metrics</w:t>
      </w:r>
      <w:r w:rsidR="003D611D">
        <w:t xml:space="preserve"> </w:t>
      </w:r>
      <w:r w:rsidR="000F273B">
        <w:t>and</w:t>
      </w:r>
      <w:r w:rsidR="003D611D">
        <w:t xml:space="preserve"> Targets </w:t>
      </w:r>
    </w:p>
    <w:p w14:paraId="432BD758" w14:textId="77777777" w:rsidR="008922E0" w:rsidRDefault="008922E0" w:rsidP="00624223"/>
    <w:tbl>
      <w:tblPr>
        <w:tblStyle w:val="TableGrid1"/>
        <w:tblW w:w="0" w:type="auto"/>
        <w:tblLook w:val="04A0" w:firstRow="1" w:lastRow="0" w:firstColumn="1" w:lastColumn="0" w:noHBand="0" w:noVBand="1"/>
      </w:tblPr>
      <w:tblGrid>
        <w:gridCol w:w="7196"/>
        <w:gridCol w:w="2835"/>
      </w:tblGrid>
      <w:tr w:rsidR="008922E0" w14:paraId="21A55771" w14:textId="77777777" w:rsidTr="00350A0C">
        <w:tc>
          <w:tcPr>
            <w:tcW w:w="7196" w:type="dxa"/>
          </w:tcPr>
          <w:p w14:paraId="03F134FF" w14:textId="77777777" w:rsidR="008922E0" w:rsidRPr="000906CB" w:rsidRDefault="008922E0" w:rsidP="00350A0C">
            <w:pPr>
              <w:jc w:val="center"/>
              <w:rPr>
                <w:rFonts w:asciiTheme="minorHAnsi" w:hAnsiTheme="minorHAnsi" w:cstheme="minorHAnsi"/>
                <w:b/>
                <w:sz w:val="24"/>
              </w:rPr>
            </w:pPr>
            <w:r w:rsidRPr="000906CB">
              <w:rPr>
                <w:rFonts w:asciiTheme="minorHAnsi" w:hAnsiTheme="minorHAnsi" w:cstheme="minorHAnsi"/>
                <w:b/>
                <w:sz w:val="24"/>
              </w:rPr>
              <w:t>System-Wide Metrics</w:t>
            </w:r>
          </w:p>
        </w:tc>
        <w:tc>
          <w:tcPr>
            <w:tcW w:w="2835" w:type="dxa"/>
          </w:tcPr>
          <w:p w14:paraId="578ACEF0" w14:textId="77777777" w:rsidR="008922E0" w:rsidRPr="000906CB" w:rsidRDefault="008922E0" w:rsidP="00350A0C">
            <w:pPr>
              <w:jc w:val="center"/>
              <w:rPr>
                <w:rFonts w:asciiTheme="minorHAnsi" w:hAnsiTheme="minorHAnsi" w:cstheme="minorHAnsi"/>
                <w:b/>
                <w:sz w:val="24"/>
              </w:rPr>
            </w:pPr>
            <w:r w:rsidRPr="000906CB">
              <w:rPr>
                <w:rFonts w:asciiTheme="minorHAnsi" w:hAnsiTheme="minorHAnsi" w:cstheme="minorHAnsi"/>
                <w:b/>
                <w:sz w:val="24"/>
              </w:rPr>
              <w:t>2019-20</w:t>
            </w:r>
            <w:r w:rsidR="001D0633">
              <w:rPr>
                <w:rFonts w:asciiTheme="minorHAnsi" w:hAnsiTheme="minorHAnsi" w:cstheme="minorHAnsi"/>
                <w:b/>
                <w:sz w:val="24"/>
              </w:rPr>
              <w:t xml:space="preserve"> Expected Value</w:t>
            </w:r>
          </w:p>
          <w:p w14:paraId="03319ECA" w14:textId="77777777" w:rsidR="008922E0" w:rsidRPr="000906CB" w:rsidRDefault="008922E0" w:rsidP="00350A0C">
            <w:pPr>
              <w:jc w:val="center"/>
              <w:rPr>
                <w:rFonts w:asciiTheme="minorHAnsi" w:hAnsiTheme="minorHAnsi" w:cstheme="minorHAnsi"/>
                <w:b/>
                <w:sz w:val="24"/>
              </w:rPr>
            </w:pPr>
          </w:p>
        </w:tc>
      </w:tr>
      <w:tr w:rsidR="008922E0" w14:paraId="393EF736" w14:textId="77777777" w:rsidTr="00350A0C">
        <w:tc>
          <w:tcPr>
            <w:tcW w:w="7196" w:type="dxa"/>
          </w:tcPr>
          <w:p w14:paraId="5F185C66" w14:textId="77777777" w:rsidR="008922E0" w:rsidRPr="00624223" w:rsidRDefault="008922E0" w:rsidP="00624223">
            <w:pPr>
              <w:rPr>
                <w:rStyle w:val="Emphasis"/>
                <w:sz w:val="22"/>
                <w:szCs w:val="22"/>
              </w:rPr>
            </w:pPr>
            <w:r w:rsidRPr="00624223">
              <w:rPr>
                <w:rStyle w:val="Emphasis"/>
                <w:sz w:val="22"/>
                <w:szCs w:val="22"/>
              </w:rPr>
              <w:t xml:space="preserve">Number and proportion of the following groups at an institution: </w:t>
            </w:r>
          </w:p>
          <w:p w14:paraId="449D9770" w14:textId="77777777" w:rsidR="008922E0" w:rsidRPr="00624223" w:rsidRDefault="008922E0" w:rsidP="00624223">
            <w:pPr>
              <w:rPr>
                <w:rFonts w:asciiTheme="minorHAnsi" w:hAnsiTheme="minorHAnsi" w:cstheme="minorHAnsi"/>
                <w:b/>
                <w:i/>
              </w:rPr>
            </w:pPr>
          </w:p>
        </w:tc>
        <w:tc>
          <w:tcPr>
            <w:tcW w:w="2835" w:type="dxa"/>
          </w:tcPr>
          <w:p w14:paraId="6CC76A1E" w14:textId="77777777" w:rsidR="008922E0" w:rsidRPr="000906CB" w:rsidRDefault="008922E0" w:rsidP="00350A0C">
            <w:pPr>
              <w:rPr>
                <w:rFonts w:asciiTheme="minorHAnsi" w:hAnsiTheme="minorHAnsi" w:cstheme="minorHAnsi"/>
                <w:sz w:val="22"/>
                <w:szCs w:val="22"/>
              </w:rPr>
            </w:pPr>
          </w:p>
        </w:tc>
      </w:tr>
      <w:tr w:rsidR="008922E0" w14:paraId="6ED2EE6B" w14:textId="77777777" w:rsidTr="00B62A18">
        <w:tc>
          <w:tcPr>
            <w:tcW w:w="7196" w:type="dxa"/>
          </w:tcPr>
          <w:p w14:paraId="3F9EA543" w14:textId="77777777" w:rsidR="008922E0" w:rsidRPr="00624223" w:rsidRDefault="008922E0" w:rsidP="00624223">
            <w:pPr>
              <w:rPr>
                <w:rStyle w:val="Emphasis"/>
                <w:rFonts w:asciiTheme="minorHAnsi" w:hAnsiTheme="minorHAnsi" w:cstheme="minorHAnsi"/>
                <w:b w:val="0"/>
                <w:i w:val="0"/>
                <w:sz w:val="22"/>
                <w:szCs w:val="22"/>
              </w:rPr>
            </w:pPr>
            <w:r w:rsidRPr="00624223">
              <w:rPr>
                <w:rStyle w:val="Emphasis"/>
                <w:rFonts w:asciiTheme="minorHAnsi" w:hAnsiTheme="minorHAnsi" w:cstheme="minorHAnsi"/>
                <w:b w:val="0"/>
                <w:i w:val="0"/>
                <w:sz w:val="22"/>
                <w:szCs w:val="22"/>
              </w:rPr>
              <w:t>Indigenous students</w:t>
            </w:r>
          </w:p>
          <w:p w14:paraId="4436E297" w14:textId="77777777" w:rsidR="008922E0" w:rsidRPr="00624223" w:rsidRDefault="008922E0" w:rsidP="00624223">
            <w:pPr>
              <w:rPr>
                <w:rFonts w:asciiTheme="minorHAnsi" w:hAnsiTheme="minorHAnsi" w:cstheme="minorHAnsi"/>
                <w:sz w:val="22"/>
                <w:szCs w:val="22"/>
              </w:rPr>
            </w:pPr>
          </w:p>
        </w:tc>
        <w:tc>
          <w:tcPr>
            <w:tcW w:w="2835" w:type="dxa"/>
            <w:shd w:val="clear" w:color="auto" w:fill="FFFFFF" w:themeFill="background1"/>
          </w:tcPr>
          <w:p w14:paraId="089FA03D" w14:textId="4D30FDFB" w:rsidR="008922E0" w:rsidRPr="00B62A18" w:rsidRDefault="004B58FB" w:rsidP="004B58FB">
            <w:pPr>
              <w:rPr>
                <w:rFonts w:asciiTheme="minorHAnsi" w:hAnsiTheme="minorHAnsi" w:cstheme="minorHAnsi"/>
                <w:sz w:val="22"/>
                <w:szCs w:val="22"/>
              </w:rPr>
            </w:pPr>
            <w:r w:rsidRPr="00B62A18">
              <w:rPr>
                <w:rFonts w:asciiTheme="minorHAnsi" w:hAnsiTheme="minorHAnsi" w:cstheme="minorHAnsi"/>
                <w:sz w:val="22"/>
                <w:szCs w:val="22"/>
              </w:rPr>
              <w:t>300</w:t>
            </w:r>
            <w:r w:rsidR="008318C3" w:rsidRPr="00B62A18">
              <w:rPr>
                <w:rFonts w:asciiTheme="minorHAnsi" w:hAnsiTheme="minorHAnsi" w:cstheme="minorHAnsi"/>
                <w:sz w:val="22"/>
                <w:szCs w:val="22"/>
              </w:rPr>
              <w:t>; 3.1%</w:t>
            </w:r>
          </w:p>
        </w:tc>
      </w:tr>
      <w:tr w:rsidR="008922E0" w14:paraId="4911FF47" w14:textId="77777777" w:rsidTr="00B62A18">
        <w:tc>
          <w:tcPr>
            <w:tcW w:w="7196" w:type="dxa"/>
          </w:tcPr>
          <w:p w14:paraId="2D1169CC" w14:textId="77777777" w:rsidR="008922E0" w:rsidRPr="00624223" w:rsidRDefault="008922E0" w:rsidP="00624223">
            <w:pPr>
              <w:rPr>
                <w:rStyle w:val="Emphasis"/>
                <w:rFonts w:asciiTheme="minorHAnsi" w:hAnsiTheme="minorHAnsi" w:cstheme="minorHAnsi"/>
                <w:b w:val="0"/>
                <w:i w:val="0"/>
                <w:sz w:val="22"/>
                <w:szCs w:val="22"/>
              </w:rPr>
            </w:pPr>
            <w:r w:rsidRPr="00624223">
              <w:rPr>
                <w:rStyle w:val="Emphasis"/>
                <w:rFonts w:asciiTheme="minorHAnsi" w:hAnsiTheme="minorHAnsi" w:cstheme="minorHAnsi"/>
                <w:b w:val="0"/>
                <w:i w:val="0"/>
                <w:sz w:val="22"/>
                <w:szCs w:val="22"/>
              </w:rPr>
              <w:t>First generation students</w:t>
            </w:r>
          </w:p>
          <w:p w14:paraId="10147262" w14:textId="77777777" w:rsidR="008922E0" w:rsidRPr="00624223" w:rsidRDefault="008922E0" w:rsidP="00624223">
            <w:pPr>
              <w:rPr>
                <w:rFonts w:asciiTheme="minorHAnsi" w:hAnsiTheme="minorHAnsi" w:cstheme="minorHAnsi"/>
                <w:sz w:val="22"/>
                <w:szCs w:val="22"/>
              </w:rPr>
            </w:pPr>
          </w:p>
        </w:tc>
        <w:tc>
          <w:tcPr>
            <w:tcW w:w="2835" w:type="dxa"/>
            <w:shd w:val="clear" w:color="auto" w:fill="FFFFFF" w:themeFill="background1"/>
          </w:tcPr>
          <w:p w14:paraId="7B74C0B6" w14:textId="6600C89B" w:rsidR="008922E0" w:rsidRPr="00B62A18" w:rsidRDefault="004B58FB" w:rsidP="00350A0C">
            <w:pPr>
              <w:rPr>
                <w:rFonts w:asciiTheme="minorHAnsi" w:hAnsiTheme="minorHAnsi" w:cstheme="minorHAnsi"/>
                <w:sz w:val="22"/>
                <w:szCs w:val="22"/>
              </w:rPr>
            </w:pPr>
            <w:r w:rsidRPr="00B62A18">
              <w:rPr>
                <w:rFonts w:asciiTheme="minorHAnsi" w:hAnsiTheme="minorHAnsi" w:cstheme="minorHAnsi"/>
                <w:sz w:val="22"/>
                <w:szCs w:val="22"/>
              </w:rPr>
              <w:t>1,100</w:t>
            </w:r>
            <w:r w:rsidR="008318C3" w:rsidRPr="00B62A18">
              <w:rPr>
                <w:rFonts w:asciiTheme="minorHAnsi" w:hAnsiTheme="minorHAnsi" w:cstheme="minorHAnsi"/>
                <w:sz w:val="22"/>
                <w:szCs w:val="22"/>
              </w:rPr>
              <w:t>; 11.9%</w:t>
            </w:r>
          </w:p>
        </w:tc>
      </w:tr>
      <w:tr w:rsidR="008922E0" w14:paraId="4013B129" w14:textId="77777777" w:rsidTr="00B62A18">
        <w:tc>
          <w:tcPr>
            <w:tcW w:w="7196" w:type="dxa"/>
          </w:tcPr>
          <w:p w14:paraId="527B15B1" w14:textId="77777777" w:rsidR="008922E0" w:rsidRPr="00624223" w:rsidRDefault="008922E0" w:rsidP="00624223">
            <w:pPr>
              <w:rPr>
                <w:rStyle w:val="Emphasis"/>
                <w:rFonts w:asciiTheme="minorHAnsi" w:hAnsiTheme="minorHAnsi" w:cstheme="minorHAnsi"/>
                <w:b w:val="0"/>
                <w:i w:val="0"/>
                <w:sz w:val="22"/>
                <w:szCs w:val="22"/>
              </w:rPr>
            </w:pPr>
            <w:r w:rsidRPr="00624223">
              <w:rPr>
                <w:rStyle w:val="Emphasis"/>
                <w:rFonts w:asciiTheme="minorHAnsi" w:hAnsiTheme="minorHAnsi" w:cstheme="minorHAnsi"/>
                <w:b w:val="0"/>
                <w:i w:val="0"/>
                <w:sz w:val="22"/>
                <w:szCs w:val="22"/>
              </w:rPr>
              <w:t>Students with disabilities</w:t>
            </w:r>
          </w:p>
          <w:p w14:paraId="56FC0B67" w14:textId="77777777" w:rsidR="008922E0" w:rsidRPr="00624223" w:rsidRDefault="008922E0" w:rsidP="00624223">
            <w:pPr>
              <w:rPr>
                <w:rStyle w:val="Emphasis"/>
                <w:rFonts w:asciiTheme="minorHAnsi" w:hAnsiTheme="minorHAnsi" w:cstheme="minorHAnsi"/>
                <w:b w:val="0"/>
                <w:i w:val="0"/>
                <w:sz w:val="22"/>
                <w:szCs w:val="22"/>
              </w:rPr>
            </w:pPr>
          </w:p>
        </w:tc>
        <w:tc>
          <w:tcPr>
            <w:tcW w:w="2835" w:type="dxa"/>
            <w:shd w:val="clear" w:color="auto" w:fill="FFFFFF" w:themeFill="background1"/>
          </w:tcPr>
          <w:p w14:paraId="1E4E6209" w14:textId="3C71933E" w:rsidR="008922E0" w:rsidRPr="00B62A18" w:rsidRDefault="004B58FB" w:rsidP="004B58FB">
            <w:pPr>
              <w:rPr>
                <w:rStyle w:val="Emphasis"/>
                <w:rFonts w:cstheme="minorHAnsi"/>
                <w:b w:val="0"/>
                <w:i w:val="0"/>
              </w:rPr>
            </w:pPr>
            <w:r w:rsidRPr="00B62A18">
              <w:rPr>
                <w:rFonts w:asciiTheme="minorHAnsi" w:hAnsiTheme="minorHAnsi" w:cstheme="minorHAnsi"/>
                <w:sz w:val="22"/>
                <w:szCs w:val="22"/>
              </w:rPr>
              <w:t>1500</w:t>
            </w:r>
            <w:r w:rsidR="008318C3" w:rsidRPr="00B62A18">
              <w:rPr>
                <w:rFonts w:asciiTheme="minorHAnsi" w:hAnsiTheme="minorHAnsi" w:cstheme="minorHAnsi"/>
                <w:sz w:val="22"/>
                <w:szCs w:val="22"/>
              </w:rPr>
              <w:t>; 16%</w:t>
            </w:r>
          </w:p>
        </w:tc>
      </w:tr>
      <w:tr w:rsidR="008922E0" w14:paraId="112B39ED" w14:textId="77777777" w:rsidTr="00B62A18">
        <w:tc>
          <w:tcPr>
            <w:tcW w:w="7196" w:type="dxa"/>
          </w:tcPr>
          <w:p w14:paraId="4E804D15" w14:textId="77777777" w:rsidR="008922E0" w:rsidRPr="00624223" w:rsidRDefault="008922E0" w:rsidP="00624223">
            <w:pPr>
              <w:rPr>
                <w:rStyle w:val="Emphasis"/>
                <w:rFonts w:asciiTheme="minorHAnsi" w:hAnsiTheme="minorHAnsi" w:cstheme="minorHAnsi"/>
                <w:b w:val="0"/>
                <w:i w:val="0"/>
                <w:sz w:val="22"/>
                <w:szCs w:val="22"/>
              </w:rPr>
            </w:pPr>
            <w:r w:rsidRPr="00624223">
              <w:rPr>
                <w:rStyle w:val="Emphasis"/>
                <w:rFonts w:asciiTheme="minorHAnsi" w:hAnsiTheme="minorHAnsi" w:cstheme="minorHAnsi"/>
                <w:b w:val="0"/>
                <w:i w:val="0"/>
                <w:sz w:val="22"/>
                <w:szCs w:val="22"/>
              </w:rPr>
              <w:t>Francophone students</w:t>
            </w:r>
            <w:r w:rsidRPr="00624223" w:rsidDel="002B01CE">
              <w:rPr>
                <w:rStyle w:val="Emphasis"/>
                <w:rFonts w:asciiTheme="minorHAnsi" w:hAnsiTheme="minorHAnsi" w:cstheme="minorHAnsi"/>
                <w:b w:val="0"/>
                <w:i w:val="0"/>
                <w:sz w:val="22"/>
                <w:szCs w:val="22"/>
              </w:rPr>
              <w:t xml:space="preserve"> </w:t>
            </w:r>
          </w:p>
          <w:p w14:paraId="2B19FAA4" w14:textId="77777777" w:rsidR="008922E0" w:rsidRPr="00624223" w:rsidRDefault="008922E0" w:rsidP="00624223">
            <w:pPr>
              <w:rPr>
                <w:rStyle w:val="Emphasis"/>
                <w:rFonts w:asciiTheme="minorHAnsi" w:hAnsiTheme="minorHAnsi" w:cstheme="minorHAnsi"/>
                <w:b w:val="0"/>
                <w:i w:val="0"/>
                <w:sz w:val="22"/>
                <w:szCs w:val="22"/>
              </w:rPr>
            </w:pPr>
          </w:p>
        </w:tc>
        <w:tc>
          <w:tcPr>
            <w:tcW w:w="2835" w:type="dxa"/>
            <w:shd w:val="clear" w:color="auto" w:fill="FFFFFF" w:themeFill="background1"/>
          </w:tcPr>
          <w:p w14:paraId="1EB14184" w14:textId="5131E0AE" w:rsidR="008922E0" w:rsidRPr="00B62A18" w:rsidRDefault="008318C3" w:rsidP="00350A0C">
            <w:pPr>
              <w:rPr>
                <w:rStyle w:val="Emphasis"/>
                <w:rFonts w:cstheme="minorHAnsi"/>
                <w:b w:val="0"/>
                <w:i w:val="0"/>
              </w:rPr>
            </w:pPr>
            <w:r w:rsidRPr="00B62A18">
              <w:rPr>
                <w:rFonts w:asciiTheme="minorHAnsi" w:hAnsiTheme="minorHAnsi" w:cstheme="minorHAnsi"/>
                <w:sz w:val="22"/>
                <w:szCs w:val="22"/>
              </w:rPr>
              <w:t>N/A</w:t>
            </w:r>
          </w:p>
        </w:tc>
      </w:tr>
      <w:tr w:rsidR="008922E0" w14:paraId="22EF9072" w14:textId="77777777" w:rsidTr="00B62A18">
        <w:tc>
          <w:tcPr>
            <w:tcW w:w="7196" w:type="dxa"/>
          </w:tcPr>
          <w:p w14:paraId="4259EBD3" w14:textId="77777777" w:rsidR="008922E0" w:rsidRPr="00624223" w:rsidRDefault="008922E0" w:rsidP="00624223">
            <w:pPr>
              <w:rPr>
                <w:rFonts w:asciiTheme="minorHAnsi" w:hAnsiTheme="minorHAnsi" w:cstheme="minorHAnsi"/>
                <w:iCs/>
                <w:sz w:val="22"/>
                <w:szCs w:val="22"/>
              </w:rPr>
            </w:pPr>
            <w:r w:rsidRPr="00624223">
              <w:rPr>
                <w:rFonts w:asciiTheme="minorHAnsi" w:hAnsiTheme="minorHAnsi" w:cstheme="minorHAnsi"/>
                <w:sz w:val="22"/>
                <w:szCs w:val="22"/>
              </w:rPr>
              <w:t>Share of OSAP recipients at an institution relative to its total number of eligible students</w:t>
            </w:r>
          </w:p>
          <w:p w14:paraId="0EB8D65F" w14:textId="77777777" w:rsidR="008922E0" w:rsidRPr="00624223" w:rsidRDefault="008922E0" w:rsidP="008922E0">
            <w:pPr>
              <w:rPr>
                <w:rStyle w:val="Emphasis"/>
                <w:rFonts w:asciiTheme="minorHAnsi" w:hAnsiTheme="minorHAnsi" w:cstheme="minorHAnsi"/>
                <w:b w:val="0"/>
                <w:i w:val="0"/>
                <w:sz w:val="22"/>
                <w:szCs w:val="22"/>
              </w:rPr>
            </w:pPr>
          </w:p>
        </w:tc>
        <w:tc>
          <w:tcPr>
            <w:tcW w:w="2835" w:type="dxa"/>
            <w:shd w:val="clear" w:color="auto" w:fill="FFFFFF" w:themeFill="background1"/>
          </w:tcPr>
          <w:p w14:paraId="6404B062" w14:textId="19CF4217" w:rsidR="008922E0" w:rsidRPr="00B62A18" w:rsidRDefault="008318C3" w:rsidP="00350A0C">
            <w:pPr>
              <w:rPr>
                <w:rStyle w:val="Emphasis"/>
                <w:rFonts w:cstheme="minorHAnsi"/>
                <w:b w:val="0"/>
                <w:i w:val="0"/>
              </w:rPr>
            </w:pPr>
            <w:r w:rsidRPr="00B62A18">
              <w:rPr>
                <w:rFonts w:asciiTheme="minorHAnsi" w:hAnsiTheme="minorHAnsi" w:cstheme="minorHAnsi"/>
                <w:sz w:val="22"/>
                <w:szCs w:val="22"/>
              </w:rPr>
              <w:t>65.4%</w:t>
            </w:r>
          </w:p>
        </w:tc>
      </w:tr>
      <w:tr w:rsidR="008922E0" w14:paraId="7462110E" w14:textId="77777777" w:rsidTr="00FA73E3">
        <w:tc>
          <w:tcPr>
            <w:tcW w:w="7196" w:type="dxa"/>
          </w:tcPr>
          <w:p w14:paraId="5B852E05" w14:textId="77777777" w:rsidR="008922E0" w:rsidRPr="00624223" w:rsidRDefault="008922E0" w:rsidP="008922E0">
            <w:pPr>
              <w:rPr>
                <w:rFonts w:asciiTheme="minorHAnsi" w:hAnsiTheme="minorHAnsi" w:cstheme="minorHAnsi"/>
                <w:sz w:val="22"/>
                <w:szCs w:val="22"/>
              </w:rPr>
            </w:pPr>
            <w:r w:rsidRPr="00624223">
              <w:rPr>
                <w:rStyle w:val="Emphasis"/>
                <w:rFonts w:asciiTheme="minorHAnsi" w:hAnsiTheme="minorHAnsi" w:cstheme="minorHAnsi"/>
                <w:b w:val="0"/>
                <w:i w:val="0"/>
                <w:sz w:val="22"/>
                <w:szCs w:val="22"/>
              </w:rPr>
              <w:t>Number of transfer applicants and registrations, as captured by the Ontario University Application Centre</w:t>
            </w:r>
          </w:p>
        </w:tc>
        <w:tc>
          <w:tcPr>
            <w:tcW w:w="2835" w:type="dxa"/>
            <w:shd w:val="clear" w:color="auto" w:fill="auto"/>
          </w:tcPr>
          <w:p w14:paraId="1F435008" w14:textId="77777777" w:rsidR="008922E0" w:rsidRPr="000906CB" w:rsidRDefault="00B140E3" w:rsidP="00350A0C">
            <w:pPr>
              <w:rPr>
                <w:rStyle w:val="Emphasis"/>
                <w:rFonts w:cstheme="minorHAnsi"/>
                <w:b w:val="0"/>
                <w:i w:val="0"/>
              </w:rPr>
            </w:pPr>
            <w:r>
              <w:rPr>
                <w:rFonts w:asciiTheme="minorHAnsi" w:hAnsiTheme="minorHAnsi" w:cstheme="minorHAnsi"/>
                <w:sz w:val="22"/>
                <w:szCs w:val="22"/>
              </w:rPr>
              <w:t>529; 108</w:t>
            </w:r>
            <w:r w:rsidR="00FA73E3">
              <w:rPr>
                <w:rFonts w:asciiTheme="minorHAnsi" w:hAnsiTheme="minorHAnsi" w:cstheme="minorHAnsi"/>
                <w:sz w:val="22"/>
                <w:szCs w:val="22"/>
              </w:rPr>
              <w:t xml:space="preserve"> </w:t>
            </w:r>
          </w:p>
        </w:tc>
      </w:tr>
    </w:tbl>
    <w:p w14:paraId="7135313B" w14:textId="77777777" w:rsidR="008922E0" w:rsidRDefault="008922E0" w:rsidP="008922E0"/>
    <w:tbl>
      <w:tblPr>
        <w:tblStyle w:val="TableGrid1"/>
        <w:tblW w:w="0" w:type="auto"/>
        <w:tblLook w:val="04A0" w:firstRow="1" w:lastRow="0" w:firstColumn="1" w:lastColumn="0" w:noHBand="0" w:noVBand="1"/>
      </w:tblPr>
      <w:tblGrid>
        <w:gridCol w:w="7196"/>
        <w:gridCol w:w="2835"/>
      </w:tblGrid>
      <w:tr w:rsidR="008922E0" w14:paraId="08AD1AB9" w14:textId="77777777" w:rsidTr="00350A0C">
        <w:tc>
          <w:tcPr>
            <w:tcW w:w="7196" w:type="dxa"/>
          </w:tcPr>
          <w:p w14:paraId="20AE9B0C" w14:textId="77777777" w:rsidR="008922E0" w:rsidRPr="000906CB" w:rsidRDefault="008922E0" w:rsidP="00FA73E3">
            <w:pPr>
              <w:jc w:val="center"/>
              <w:rPr>
                <w:rFonts w:asciiTheme="minorHAnsi" w:hAnsiTheme="minorHAnsi" w:cstheme="minorHAnsi"/>
                <w:b/>
                <w:sz w:val="24"/>
                <w:szCs w:val="24"/>
              </w:rPr>
            </w:pPr>
            <w:r w:rsidRPr="000906CB">
              <w:rPr>
                <w:rFonts w:asciiTheme="minorHAnsi" w:hAnsiTheme="minorHAnsi" w:cstheme="minorHAnsi"/>
                <w:b/>
                <w:sz w:val="24"/>
                <w:szCs w:val="24"/>
              </w:rPr>
              <w:t>Institution</w:t>
            </w:r>
            <w:r w:rsidR="00FA73E3">
              <w:rPr>
                <w:rFonts w:asciiTheme="minorHAnsi" w:hAnsiTheme="minorHAnsi" w:cstheme="minorHAnsi"/>
                <w:b/>
                <w:sz w:val="24"/>
                <w:szCs w:val="24"/>
              </w:rPr>
              <w:t>-Specific</w:t>
            </w:r>
            <w:r w:rsidRPr="000906CB">
              <w:rPr>
                <w:rFonts w:asciiTheme="minorHAnsi" w:hAnsiTheme="minorHAnsi" w:cstheme="minorHAnsi"/>
                <w:b/>
                <w:sz w:val="24"/>
                <w:szCs w:val="24"/>
              </w:rPr>
              <w:t xml:space="preserve"> Metrics</w:t>
            </w:r>
          </w:p>
        </w:tc>
        <w:tc>
          <w:tcPr>
            <w:tcW w:w="2835" w:type="dxa"/>
          </w:tcPr>
          <w:p w14:paraId="657EE383" w14:textId="77777777" w:rsidR="008922E0" w:rsidRPr="000906CB" w:rsidRDefault="008922E0" w:rsidP="00350A0C">
            <w:pPr>
              <w:jc w:val="center"/>
              <w:rPr>
                <w:rFonts w:asciiTheme="minorHAnsi" w:hAnsiTheme="minorHAnsi" w:cstheme="minorHAnsi"/>
                <w:b/>
                <w:sz w:val="24"/>
                <w:szCs w:val="24"/>
              </w:rPr>
            </w:pPr>
            <w:r w:rsidRPr="000906CB">
              <w:rPr>
                <w:rFonts w:asciiTheme="minorHAnsi" w:hAnsiTheme="minorHAnsi" w:cstheme="minorHAnsi"/>
                <w:b/>
                <w:sz w:val="24"/>
                <w:szCs w:val="24"/>
              </w:rPr>
              <w:t>2019-20 Target</w:t>
            </w:r>
          </w:p>
          <w:p w14:paraId="4FEB15B8" w14:textId="77777777" w:rsidR="008922E0" w:rsidRPr="000906CB" w:rsidRDefault="008922E0" w:rsidP="00350A0C">
            <w:pPr>
              <w:jc w:val="center"/>
              <w:rPr>
                <w:rFonts w:asciiTheme="minorHAnsi" w:hAnsiTheme="minorHAnsi" w:cstheme="minorHAnsi"/>
                <w:b/>
                <w:sz w:val="24"/>
                <w:szCs w:val="24"/>
              </w:rPr>
            </w:pPr>
          </w:p>
        </w:tc>
      </w:tr>
      <w:tr w:rsidR="008922E0" w14:paraId="5B5AE792" w14:textId="77777777" w:rsidTr="00350A0C">
        <w:tc>
          <w:tcPr>
            <w:tcW w:w="7196" w:type="dxa"/>
          </w:tcPr>
          <w:p w14:paraId="73E6EDBE" w14:textId="77777777" w:rsidR="00B140E3" w:rsidRPr="002D3CB8" w:rsidRDefault="00B140E3" w:rsidP="00B140E3">
            <w:pPr>
              <w:pStyle w:val="Tablebullet"/>
              <w:numPr>
                <w:ilvl w:val="0"/>
                <w:numId w:val="0"/>
              </w:numPr>
              <w:spacing w:before="40" w:after="40"/>
              <w:ind w:left="218"/>
              <w:rPr>
                <w:rStyle w:val="Emphasis"/>
                <w:b w:val="0"/>
                <w:i w:val="0"/>
                <w:sz w:val="22"/>
                <w:szCs w:val="22"/>
              </w:rPr>
            </w:pPr>
            <w:r>
              <w:rPr>
                <w:rStyle w:val="Emphasis"/>
                <w:b w:val="0"/>
                <w:i w:val="0"/>
                <w:sz w:val="22"/>
                <w:szCs w:val="22"/>
              </w:rPr>
              <w:t>Registrants/Registrations in courses with Indigenous content.</w:t>
            </w:r>
          </w:p>
          <w:p w14:paraId="7D3B7740" w14:textId="77777777" w:rsidR="008922E0" w:rsidRPr="00624223" w:rsidRDefault="008922E0" w:rsidP="00624223">
            <w:pPr>
              <w:rPr>
                <w:sz w:val="22"/>
                <w:szCs w:val="22"/>
              </w:rPr>
            </w:pPr>
          </w:p>
        </w:tc>
        <w:tc>
          <w:tcPr>
            <w:tcW w:w="2835" w:type="dxa"/>
          </w:tcPr>
          <w:p w14:paraId="6D5ABB5F" w14:textId="77777777" w:rsidR="008922E0" w:rsidRPr="00624223" w:rsidRDefault="00B140E3" w:rsidP="00624223">
            <w:pPr>
              <w:rPr>
                <w:rStyle w:val="Emphasis"/>
                <w:rFonts w:asciiTheme="minorHAnsi" w:hAnsiTheme="minorHAnsi" w:cstheme="minorHAnsi"/>
                <w:b w:val="0"/>
                <w:i w:val="0"/>
                <w:sz w:val="22"/>
                <w:szCs w:val="22"/>
              </w:rPr>
            </w:pPr>
            <w:r>
              <w:rPr>
                <w:rStyle w:val="Emphasis"/>
                <w:rFonts w:asciiTheme="minorHAnsi" w:hAnsiTheme="minorHAnsi" w:cstheme="minorHAnsi"/>
                <w:b w:val="0"/>
                <w:i w:val="0"/>
                <w:sz w:val="22"/>
                <w:szCs w:val="22"/>
              </w:rPr>
              <w:t>TBD</w:t>
            </w:r>
          </w:p>
          <w:p w14:paraId="4CD325B8" w14:textId="77777777" w:rsidR="008922E0" w:rsidRPr="00624223" w:rsidRDefault="008922E0" w:rsidP="00624223">
            <w:pPr>
              <w:rPr>
                <w:sz w:val="22"/>
                <w:szCs w:val="22"/>
              </w:rPr>
            </w:pPr>
          </w:p>
        </w:tc>
      </w:tr>
      <w:tr w:rsidR="008922E0" w14:paraId="2503C047" w14:textId="77777777" w:rsidTr="00350A0C">
        <w:tc>
          <w:tcPr>
            <w:tcW w:w="7196" w:type="dxa"/>
          </w:tcPr>
          <w:p w14:paraId="4972C32D" w14:textId="77777777" w:rsidR="008922E0" w:rsidRPr="00624223" w:rsidRDefault="00FA73E3" w:rsidP="00624223">
            <w:pPr>
              <w:rPr>
                <w:sz w:val="22"/>
                <w:szCs w:val="22"/>
              </w:rPr>
            </w:pPr>
            <w:r>
              <w:rPr>
                <w:rStyle w:val="Emphasis"/>
                <w:rFonts w:asciiTheme="minorHAnsi" w:hAnsiTheme="minorHAnsi" w:cstheme="minorHAnsi"/>
                <w:b w:val="0"/>
                <w:i w:val="0"/>
                <w:sz w:val="22"/>
                <w:szCs w:val="22"/>
              </w:rPr>
              <w:t xml:space="preserve"> </w:t>
            </w:r>
            <w:r w:rsidR="008922E0" w:rsidRPr="00624223">
              <w:rPr>
                <w:rStyle w:val="Emphasis"/>
                <w:rFonts w:asciiTheme="minorHAnsi" w:hAnsiTheme="minorHAnsi" w:cstheme="minorHAnsi"/>
                <w:b w:val="0"/>
                <w:i w:val="0"/>
                <w:sz w:val="22"/>
                <w:szCs w:val="22"/>
              </w:rPr>
              <w:t xml:space="preserve"> </w:t>
            </w:r>
            <w:r w:rsidR="00B140E3" w:rsidRPr="00B140E3">
              <w:rPr>
                <w:rFonts w:asciiTheme="minorHAnsi" w:hAnsiTheme="minorHAnsi" w:cstheme="minorHAnsi"/>
                <w:bCs/>
                <w:iCs/>
                <w:spacing w:val="10"/>
                <w:sz w:val="22"/>
                <w:szCs w:val="22"/>
                <w:lang w:val="en-US"/>
              </w:rPr>
              <w:t>Number of articulation agreements</w:t>
            </w:r>
          </w:p>
        </w:tc>
        <w:tc>
          <w:tcPr>
            <w:tcW w:w="2835" w:type="dxa"/>
          </w:tcPr>
          <w:p w14:paraId="52B667D8" w14:textId="77777777" w:rsidR="008922E0" w:rsidRPr="00624223" w:rsidRDefault="00B140E3" w:rsidP="00624223">
            <w:pPr>
              <w:rPr>
                <w:rStyle w:val="Emphasis"/>
                <w:rFonts w:asciiTheme="minorHAnsi" w:hAnsiTheme="minorHAnsi" w:cstheme="minorHAnsi"/>
                <w:b w:val="0"/>
                <w:i w:val="0"/>
                <w:sz w:val="22"/>
                <w:szCs w:val="22"/>
              </w:rPr>
            </w:pPr>
            <w:r>
              <w:rPr>
                <w:rStyle w:val="Emphasis"/>
                <w:rFonts w:asciiTheme="minorHAnsi" w:hAnsiTheme="minorHAnsi" w:cstheme="minorHAnsi"/>
                <w:b w:val="0"/>
                <w:i w:val="0"/>
                <w:sz w:val="22"/>
                <w:szCs w:val="22"/>
              </w:rPr>
              <w:t>62</w:t>
            </w:r>
            <w:r w:rsidR="00FA73E3">
              <w:rPr>
                <w:rStyle w:val="Emphasis"/>
                <w:rFonts w:asciiTheme="minorHAnsi" w:hAnsiTheme="minorHAnsi" w:cstheme="minorHAnsi"/>
                <w:b w:val="0"/>
                <w:i w:val="0"/>
                <w:sz w:val="22"/>
                <w:szCs w:val="22"/>
              </w:rPr>
              <w:t xml:space="preserve"> </w:t>
            </w:r>
          </w:p>
          <w:p w14:paraId="3ABAA2C9" w14:textId="77777777" w:rsidR="008922E0" w:rsidRPr="00624223" w:rsidRDefault="008922E0" w:rsidP="00624223">
            <w:pPr>
              <w:rPr>
                <w:sz w:val="22"/>
                <w:szCs w:val="22"/>
              </w:rPr>
            </w:pPr>
          </w:p>
        </w:tc>
      </w:tr>
      <w:tr w:rsidR="008922E0" w14:paraId="7562879C" w14:textId="77777777" w:rsidTr="00350A0C">
        <w:tc>
          <w:tcPr>
            <w:tcW w:w="7196" w:type="dxa"/>
          </w:tcPr>
          <w:p w14:paraId="1BF433AB" w14:textId="77777777" w:rsidR="008922E0" w:rsidRPr="00624223" w:rsidRDefault="00FA73E3" w:rsidP="00624223">
            <w:pPr>
              <w:rPr>
                <w:sz w:val="22"/>
                <w:szCs w:val="22"/>
              </w:rPr>
            </w:pPr>
            <w:r>
              <w:rPr>
                <w:rStyle w:val="Emphasis"/>
                <w:rFonts w:asciiTheme="minorHAnsi" w:hAnsiTheme="minorHAnsi" w:cstheme="minorHAnsi"/>
                <w:b w:val="0"/>
                <w:i w:val="0"/>
                <w:sz w:val="22"/>
                <w:szCs w:val="22"/>
              </w:rPr>
              <w:t xml:space="preserve"> </w:t>
            </w:r>
            <w:r w:rsidR="00B140E3" w:rsidRPr="00B140E3">
              <w:rPr>
                <w:rFonts w:asciiTheme="minorHAnsi" w:hAnsiTheme="minorHAnsi" w:cstheme="minorHAnsi"/>
                <w:bCs/>
                <w:iCs/>
                <w:spacing w:val="10"/>
                <w:sz w:val="22"/>
                <w:szCs w:val="22"/>
                <w:lang w:val="en-US"/>
              </w:rPr>
              <w:t>Number of students entering through articulation agreements/completing degrees from articulation pathways</w:t>
            </w:r>
          </w:p>
        </w:tc>
        <w:tc>
          <w:tcPr>
            <w:tcW w:w="2835" w:type="dxa"/>
          </w:tcPr>
          <w:p w14:paraId="026EF2BA" w14:textId="77777777" w:rsidR="008922E0" w:rsidRPr="00624223" w:rsidRDefault="00B140E3" w:rsidP="00624223">
            <w:pPr>
              <w:rPr>
                <w:sz w:val="22"/>
                <w:szCs w:val="22"/>
              </w:rPr>
            </w:pPr>
            <w:r>
              <w:rPr>
                <w:rStyle w:val="Emphasis"/>
                <w:rFonts w:asciiTheme="minorHAnsi" w:hAnsiTheme="minorHAnsi" w:cstheme="minorHAnsi"/>
                <w:b w:val="0"/>
                <w:i w:val="0"/>
                <w:sz w:val="22"/>
                <w:szCs w:val="22"/>
              </w:rPr>
              <w:t>181</w:t>
            </w:r>
            <w:r w:rsidR="00FA73E3">
              <w:rPr>
                <w:rStyle w:val="Emphasis"/>
                <w:rFonts w:asciiTheme="minorHAnsi" w:hAnsiTheme="minorHAnsi" w:cstheme="minorHAnsi"/>
                <w:b w:val="0"/>
                <w:i w:val="0"/>
                <w:sz w:val="22"/>
                <w:szCs w:val="22"/>
              </w:rPr>
              <w:t xml:space="preserve"> </w:t>
            </w:r>
          </w:p>
        </w:tc>
      </w:tr>
    </w:tbl>
    <w:p w14:paraId="5FF954CC" w14:textId="77777777" w:rsidR="008922E0" w:rsidRPr="00624223" w:rsidRDefault="008922E0" w:rsidP="00624223"/>
    <w:p w14:paraId="7B3700E1" w14:textId="77777777" w:rsidR="00D3445B" w:rsidRDefault="00D3445B" w:rsidP="00ED423E">
      <w:pPr>
        <w:pStyle w:val="Title"/>
        <w:numPr>
          <w:ilvl w:val="0"/>
          <w:numId w:val="6"/>
        </w:numPr>
        <w:outlineLvl w:val="0"/>
      </w:pPr>
      <w:r>
        <w:t>R</w:t>
      </w:r>
      <w:r w:rsidR="000F273B">
        <w:t>esearch Excellence and Impact</w:t>
      </w:r>
      <w:r w:rsidRPr="00D3445B">
        <w:t xml:space="preserve"> </w:t>
      </w:r>
    </w:p>
    <w:p w14:paraId="0829B1BA" w14:textId="77777777" w:rsidR="004B13D0" w:rsidRPr="00101282" w:rsidRDefault="004B13D0" w:rsidP="000F273B">
      <w:pPr>
        <w:rPr>
          <w:b/>
          <w:i/>
        </w:rPr>
      </w:pPr>
      <w:r w:rsidRPr="00101282">
        <w:rPr>
          <w:i/>
        </w:rPr>
        <w:t>This section captures institutional strengths in producing high-quality research on the continuum of fundamental and applied research through activity that further raises Ontario’s profile as a globally</w:t>
      </w:r>
      <w:r w:rsidR="00B74141" w:rsidRPr="00101282">
        <w:rPr>
          <w:i/>
        </w:rPr>
        <w:t xml:space="preserve"> </w:t>
      </w:r>
      <w:r w:rsidRPr="00101282">
        <w:rPr>
          <w:i/>
        </w:rPr>
        <w:t xml:space="preserve">recognized research and innovation hub. It also acknowledges that research capacity is strongly linked with graduate education.  </w:t>
      </w:r>
    </w:p>
    <w:p w14:paraId="4293D4F5" w14:textId="77777777" w:rsidR="00D3445B" w:rsidRPr="00F650BC" w:rsidRDefault="00D3445B" w:rsidP="00ED423E">
      <w:pPr>
        <w:pStyle w:val="Heading1"/>
      </w:pPr>
      <w:r>
        <w:t>Institutional Approach to Research Excellence</w:t>
      </w:r>
      <w:r w:rsidR="00F61F65">
        <w:t xml:space="preserve"> </w:t>
      </w:r>
      <w:r w:rsidR="000F273B">
        <w:t>and</w:t>
      </w:r>
      <w:r w:rsidR="00F61F65">
        <w:t xml:space="preserve"> Impact </w:t>
      </w:r>
    </w:p>
    <w:p w14:paraId="3C5D912C" w14:textId="77777777" w:rsidR="00B140E3" w:rsidRDefault="00B140E3" w:rsidP="00B140E3">
      <w:pPr>
        <w:rPr>
          <w:rFonts w:ascii="Calibri" w:hAnsi="Calibri" w:cs="Calibri"/>
        </w:rPr>
      </w:pPr>
      <w:r>
        <w:rPr>
          <w:rFonts w:ascii="Calibri" w:hAnsi="Calibri" w:cs="Calibri"/>
        </w:rPr>
        <w:t xml:space="preserve">In its rankings of 19 </w:t>
      </w:r>
      <w:r w:rsidRPr="0022618B">
        <w:rPr>
          <w:rFonts w:ascii="Calibri" w:hAnsi="Calibri" w:cs="Calibri"/>
        </w:rPr>
        <w:t xml:space="preserve">small universities, </w:t>
      </w:r>
      <w:r>
        <w:rPr>
          <w:rFonts w:ascii="Calibri" w:hAnsi="Calibri" w:cs="Calibri"/>
        </w:rPr>
        <w:t xml:space="preserve">Research InfoSource </w:t>
      </w:r>
      <w:r w:rsidRPr="0022618B">
        <w:rPr>
          <w:rFonts w:ascii="Calibri" w:hAnsi="Calibri" w:cs="Calibri"/>
        </w:rPr>
        <w:t>ranks Trent second in Canada</w:t>
      </w:r>
      <w:r>
        <w:rPr>
          <w:rFonts w:ascii="Calibri" w:hAnsi="Calibri" w:cs="Calibri"/>
        </w:rPr>
        <w:t xml:space="preserve"> and first in Ontario for research productivities. In its rankings of </w:t>
      </w:r>
      <w:r w:rsidRPr="00DF001D">
        <w:rPr>
          <w:rFonts w:ascii="Calibri" w:hAnsi="Calibri" w:cs="Calibri"/>
        </w:rPr>
        <w:t xml:space="preserve">48 universities of all sizes across Canada, Trent placed </w:t>
      </w:r>
      <w:r>
        <w:rPr>
          <w:rFonts w:ascii="Calibri" w:hAnsi="Calibri" w:cs="Calibri"/>
        </w:rPr>
        <w:t>24</w:t>
      </w:r>
      <w:r w:rsidRPr="00DD5AC9">
        <w:rPr>
          <w:rFonts w:ascii="Calibri" w:hAnsi="Calibri" w:cs="Calibri"/>
          <w:vertAlign w:val="superscript"/>
        </w:rPr>
        <w:t>th</w:t>
      </w:r>
      <w:r>
        <w:rPr>
          <w:rFonts w:ascii="Calibri" w:hAnsi="Calibri" w:cs="Calibri"/>
        </w:rPr>
        <w:t xml:space="preserve"> </w:t>
      </w:r>
      <w:r w:rsidRPr="00DF001D">
        <w:rPr>
          <w:rFonts w:ascii="Calibri" w:hAnsi="Calibri" w:cs="Calibri"/>
        </w:rPr>
        <w:t xml:space="preserve">in </w:t>
      </w:r>
      <w:r>
        <w:rPr>
          <w:rFonts w:ascii="Calibri" w:hAnsi="Calibri" w:cs="Calibri"/>
        </w:rPr>
        <w:t>p</w:t>
      </w:r>
      <w:r w:rsidRPr="00DF001D">
        <w:rPr>
          <w:rFonts w:ascii="Calibri" w:hAnsi="Calibri" w:cs="Calibri"/>
        </w:rPr>
        <w:t xml:space="preserve">ublication </w:t>
      </w:r>
      <w:r>
        <w:rPr>
          <w:rFonts w:ascii="Calibri" w:hAnsi="Calibri" w:cs="Calibri"/>
        </w:rPr>
        <w:t>i</w:t>
      </w:r>
      <w:r w:rsidRPr="00DF001D">
        <w:rPr>
          <w:rFonts w:ascii="Calibri" w:hAnsi="Calibri" w:cs="Calibri"/>
        </w:rPr>
        <w:t xml:space="preserve">mpact, </w:t>
      </w:r>
      <w:r>
        <w:rPr>
          <w:rFonts w:ascii="Calibri" w:hAnsi="Calibri" w:cs="Calibri"/>
        </w:rPr>
        <w:t>22</w:t>
      </w:r>
      <w:r w:rsidRPr="00DD5AC9">
        <w:rPr>
          <w:rFonts w:ascii="Calibri" w:hAnsi="Calibri" w:cs="Calibri"/>
          <w:vertAlign w:val="superscript"/>
        </w:rPr>
        <w:t>nd</w:t>
      </w:r>
      <w:r>
        <w:rPr>
          <w:rFonts w:ascii="Calibri" w:hAnsi="Calibri" w:cs="Calibri"/>
        </w:rPr>
        <w:t xml:space="preserve"> </w:t>
      </w:r>
      <w:r w:rsidRPr="00DF001D">
        <w:rPr>
          <w:rFonts w:ascii="Calibri" w:hAnsi="Calibri" w:cs="Calibri"/>
        </w:rPr>
        <w:t xml:space="preserve">in </w:t>
      </w:r>
      <w:r>
        <w:rPr>
          <w:rFonts w:ascii="Calibri" w:hAnsi="Calibri" w:cs="Calibri"/>
        </w:rPr>
        <w:t>p</w:t>
      </w:r>
      <w:r w:rsidRPr="00DF001D">
        <w:rPr>
          <w:rFonts w:ascii="Calibri" w:hAnsi="Calibri" w:cs="Calibri"/>
        </w:rPr>
        <w:t xml:space="preserve">ublication </w:t>
      </w:r>
      <w:r>
        <w:rPr>
          <w:rFonts w:ascii="Calibri" w:hAnsi="Calibri" w:cs="Calibri"/>
        </w:rPr>
        <w:t>i</w:t>
      </w:r>
      <w:r w:rsidRPr="00DF001D">
        <w:rPr>
          <w:rFonts w:ascii="Calibri" w:hAnsi="Calibri" w:cs="Calibri"/>
        </w:rPr>
        <w:t xml:space="preserve">ntensity, and </w:t>
      </w:r>
      <w:r>
        <w:rPr>
          <w:rFonts w:ascii="Calibri" w:hAnsi="Calibri" w:cs="Calibri"/>
        </w:rPr>
        <w:t>21</w:t>
      </w:r>
      <w:r w:rsidRPr="00DD5AC9">
        <w:rPr>
          <w:rFonts w:ascii="Calibri" w:hAnsi="Calibri" w:cs="Calibri"/>
          <w:vertAlign w:val="superscript"/>
        </w:rPr>
        <w:t>st</w:t>
      </w:r>
      <w:r>
        <w:rPr>
          <w:rFonts w:ascii="Calibri" w:hAnsi="Calibri" w:cs="Calibri"/>
        </w:rPr>
        <w:t xml:space="preserve"> </w:t>
      </w:r>
      <w:r w:rsidRPr="00DF001D">
        <w:rPr>
          <w:rFonts w:ascii="Calibri" w:hAnsi="Calibri" w:cs="Calibri"/>
        </w:rPr>
        <w:t xml:space="preserve">in </w:t>
      </w:r>
      <w:r>
        <w:rPr>
          <w:rFonts w:ascii="Calibri" w:hAnsi="Calibri" w:cs="Calibri"/>
        </w:rPr>
        <w:t>t</w:t>
      </w:r>
      <w:r w:rsidRPr="00DF001D">
        <w:rPr>
          <w:rFonts w:ascii="Calibri" w:hAnsi="Calibri" w:cs="Calibri"/>
        </w:rPr>
        <w:t xml:space="preserve">otal </w:t>
      </w:r>
      <w:r>
        <w:rPr>
          <w:rFonts w:ascii="Calibri" w:hAnsi="Calibri" w:cs="Calibri"/>
        </w:rPr>
        <w:t>r</w:t>
      </w:r>
      <w:r w:rsidRPr="00DF001D">
        <w:rPr>
          <w:rFonts w:ascii="Calibri" w:hAnsi="Calibri" w:cs="Calibri"/>
        </w:rPr>
        <w:t xml:space="preserve">esearch </w:t>
      </w:r>
      <w:r>
        <w:rPr>
          <w:rFonts w:ascii="Calibri" w:hAnsi="Calibri" w:cs="Calibri"/>
        </w:rPr>
        <w:t>i</w:t>
      </w:r>
      <w:r w:rsidRPr="00DF001D">
        <w:rPr>
          <w:rFonts w:ascii="Calibri" w:hAnsi="Calibri" w:cs="Calibri"/>
        </w:rPr>
        <w:t>mpact. The total research impact score is the se</w:t>
      </w:r>
      <w:r>
        <w:rPr>
          <w:rFonts w:ascii="Calibri" w:hAnsi="Calibri" w:cs="Calibri"/>
        </w:rPr>
        <w:t>cond-highest in Canada for a u</w:t>
      </w:r>
      <w:r w:rsidRPr="00DF001D">
        <w:rPr>
          <w:rFonts w:ascii="Calibri" w:hAnsi="Calibri" w:cs="Calibri"/>
        </w:rPr>
        <w:t xml:space="preserve">niversity </w:t>
      </w:r>
      <w:r>
        <w:rPr>
          <w:rFonts w:ascii="Calibri" w:hAnsi="Calibri" w:cs="Calibri"/>
        </w:rPr>
        <w:t xml:space="preserve">that does not have </w:t>
      </w:r>
      <w:r w:rsidRPr="00DF001D">
        <w:rPr>
          <w:rFonts w:ascii="Calibri" w:hAnsi="Calibri" w:cs="Calibri"/>
        </w:rPr>
        <w:t>an engineering and/or medical program</w:t>
      </w:r>
      <w:r>
        <w:rPr>
          <w:rFonts w:ascii="Calibri" w:hAnsi="Calibri" w:cs="Calibri"/>
        </w:rPr>
        <w:t>.</w:t>
      </w:r>
      <w:r w:rsidRPr="00DF001D">
        <w:rPr>
          <w:rFonts w:ascii="Calibri" w:hAnsi="Calibri" w:cs="Calibri"/>
        </w:rPr>
        <w:t xml:space="preserve"> </w:t>
      </w:r>
      <w:r>
        <w:rPr>
          <w:rFonts w:ascii="Calibri" w:hAnsi="Calibri" w:cs="Calibri"/>
        </w:rPr>
        <w:t>In research dollars, Trent attracts more research dollars per faculty member than a number of much larger comprehensive universities in Ontario.</w:t>
      </w:r>
      <w:r>
        <w:rPr>
          <w:rStyle w:val="FootnoteReference"/>
          <w:rFonts w:ascii="Calibri" w:hAnsi="Calibri" w:cs="Calibri"/>
        </w:rPr>
        <w:footnoteReference w:id="4"/>
      </w:r>
    </w:p>
    <w:p w14:paraId="6C971A7A" w14:textId="77777777" w:rsidR="00B140E3" w:rsidRDefault="00B140E3" w:rsidP="00B140E3">
      <w:r w:rsidRPr="00DF001D">
        <w:t xml:space="preserve">In the </w:t>
      </w:r>
      <w:r w:rsidRPr="00DF001D">
        <w:rPr>
          <w:i/>
        </w:rPr>
        <w:t>Maclean’s</w:t>
      </w:r>
      <w:r w:rsidRPr="00DF001D">
        <w:t xml:space="preserve"> ratings of 19 </w:t>
      </w:r>
      <w:r>
        <w:t>p</w:t>
      </w:r>
      <w:r w:rsidRPr="00DF001D">
        <w:t xml:space="preserve">rimarily </w:t>
      </w:r>
      <w:r>
        <w:t>u</w:t>
      </w:r>
      <w:r w:rsidRPr="00DF001D">
        <w:t xml:space="preserve">ndergraduate </w:t>
      </w:r>
      <w:r>
        <w:t>u</w:t>
      </w:r>
      <w:r w:rsidRPr="00DF001D">
        <w:t xml:space="preserve">niversities, Trent ranked </w:t>
      </w:r>
      <w:r>
        <w:t>third</w:t>
      </w:r>
      <w:r w:rsidRPr="00DF001D">
        <w:t xml:space="preserve"> in </w:t>
      </w:r>
      <w:r>
        <w:t>research a</w:t>
      </w:r>
      <w:r w:rsidRPr="00DF001D">
        <w:t xml:space="preserve">wards per full-time faculty, </w:t>
      </w:r>
      <w:r>
        <w:t>fifth</w:t>
      </w:r>
      <w:r w:rsidRPr="00DF001D">
        <w:t xml:space="preserve"> in </w:t>
      </w:r>
      <w:r>
        <w:t>m</w:t>
      </w:r>
      <w:r w:rsidRPr="00DF001D">
        <w:t>edical/</w:t>
      </w:r>
      <w:r>
        <w:t>s</w:t>
      </w:r>
      <w:r w:rsidRPr="00DF001D">
        <w:t xml:space="preserve">cience grants and </w:t>
      </w:r>
      <w:r>
        <w:t>second</w:t>
      </w:r>
      <w:r w:rsidRPr="00DF001D">
        <w:t xml:space="preserve"> in </w:t>
      </w:r>
      <w:r>
        <w:t>s</w:t>
      </w:r>
      <w:r w:rsidRPr="00DF001D">
        <w:t xml:space="preserve">ocial </w:t>
      </w:r>
      <w:r>
        <w:t>s</w:t>
      </w:r>
      <w:r w:rsidRPr="00DF001D">
        <w:t>cience</w:t>
      </w:r>
      <w:r>
        <w:t>s</w:t>
      </w:r>
      <w:r w:rsidRPr="00DF001D">
        <w:t xml:space="preserve"> and </w:t>
      </w:r>
      <w:r>
        <w:t>h</w:t>
      </w:r>
      <w:r w:rsidRPr="00DF001D">
        <w:t>umanities grants.</w:t>
      </w:r>
      <w:r>
        <w:t xml:space="preserve"> In the wake of a 2012 research survey, Alex Usher of the Higher Education Strategy Association wrote that Trent has “by far the best publication record” across disciplines in both science and arts in academic research among smaller universities in Canada.</w:t>
      </w:r>
    </w:p>
    <w:p w14:paraId="7BDF9DD2" w14:textId="77777777" w:rsidR="00B140E3" w:rsidRPr="00204211" w:rsidRDefault="00B140E3" w:rsidP="00B140E3">
      <w:pPr>
        <w:rPr>
          <w:rFonts w:ascii="Calibri" w:hAnsi="Calibri" w:cs="Calibri"/>
          <w:lang w:val="en-CA"/>
        </w:rPr>
      </w:pPr>
      <w:r>
        <w:rPr>
          <w:rFonts w:ascii="Calibri" w:hAnsi="Calibri" w:cs="Calibri"/>
        </w:rPr>
        <w:t xml:space="preserve">At the undergraduate and graduate levels, Trent highlights research in its teaching. </w:t>
      </w:r>
      <w:r w:rsidRPr="00204211">
        <w:rPr>
          <w:rFonts w:ascii="Calibri" w:hAnsi="Calibri" w:cs="Calibri"/>
          <w:lang w:val="en-CA"/>
        </w:rPr>
        <w:t xml:space="preserve">Research </w:t>
      </w:r>
      <w:r>
        <w:rPr>
          <w:rFonts w:ascii="Calibri" w:hAnsi="Calibri" w:cs="Calibri"/>
          <w:lang w:val="en-CA"/>
        </w:rPr>
        <w:t xml:space="preserve">undertaken at the University </w:t>
      </w:r>
      <w:r w:rsidRPr="00204211">
        <w:rPr>
          <w:rFonts w:ascii="Calibri" w:hAnsi="Calibri" w:cs="Calibri"/>
          <w:lang w:val="en-CA"/>
        </w:rPr>
        <w:t xml:space="preserve">includes studies in traditional disciplines and interdisciplinary research that combines the sciences, social sciences, professional programs and/or the humanities. </w:t>
      </w:r>
      <w:r>
        <w:rPr>
          <w:rFonts w:ascii="Calibri" w:hAnsi="Calibri" w:cs="Calibri"/>
          <w:lang w:val="en-CA"/>
        </w:rPr>
        <w:t xml:space="preserve">The quality of </w:t>
      </w:r>
      <w:r w:rsidRPr="00204211">
        <w:rPr>
          <w:rFonts w:ascii="Calibri" w:hAnsi="Calibri" w:cs="Calibri"/>
          <w:lang w:val="en-CA"/>
        </w:rPr>
        <w:t xml:space="preserve">Trent </w:t>
      </w:r>
      <w:r>
        <w:rPr>
          <w:rFonts w:ascii="Calibri" w:hAnsi="Calibri" w:cs="Calibri"/>
          <w:lang w:val="en-CA"/>
        </w:rPr>
        <w:t xml:space="preserve">research </w:t>
      </w:r>
      <w:r w:rsidRPr="00204211">
        <w:rPr>
          <w:rFonts w:ascii="Calibri" w:hAnsi="Calibri" w:cs="Calibri"/>
          <w:lang w:val="en-CA"/>
        </w:rPr>
        <w:t>is widely known in</w:t>
      </w:r>
      <w:r>
        <w:rPr>
          <w:rFonts w:ascii="Calibri" w:hAnsi="Calibri" w:cs="Calibri"/>
          <w:lang w:val="en-CA"/>
        </w:rPr>
        <w:t xml:space="preserve"> </w:t>
      </w:r>
      <w:r w:rsidRPr="00204211">
        <w:rPr>
          <w:rFonts w:ascii="Calibri" w:hAnsi="Calibri" w:cs="Calibri"/>
          <w:lang w:val="en-CA"/>
        </w:rPr>
        <w:t xml:space="preserve">International Development, Nursing, </w:t>
      </w:r>
      <w:r>
        <w:rPr>
          <w:rFonts w:ascii="Calibri" w:hAnsi="Calibri" w:cs="Calibri"/>
          <w:lang w:val="en-CA"/>
        </w:rPr>
        <w:t>Indigenous Studies, t</w:t>
      </w:r>
      <w:r w:rsidRPr="00204211">
        <w:rPr>
          <w:rFonts w:ascii="Calibri" w:hAnsi="Calibri" w:cs="Calibri"/>
          <w:lang w:val="en-CA"/>
        </w:rPr>
        <w:t>he Environmental Sciences</w:t>
      </w:r>
      <w:r>
        <w:rPr>
          <w:rFonts w:ascii="Calibri" w:hAnsi="Calibri" w:cs="Calibri"/>
          <w:lang w:val="en-CA"/>
        </w:rPr>
        <w:t>, Aging,</w:t>
      </w:r>
      <w:r w:rsidRPr="00204211">
        <w:rPr>
          <w:rFonts w:ascii="Calibri" w:hAnsi="Calibri" w:cs="Calibri"/>
          <w:lang w:val="en-CA"/>
        </w:rPr>
        <w:t xml:space="preserve"> History </w:t>
      </w:r>
      <w:r>
        <w:rPr>
          <w:rFonts w:ascii="Calibri" w:hAnsi="Calibri" w:cs="Calibri"/>
          <w:lang w:val="en-CA"/>
        </w:rPr>
        <w:t>a</w:t>
      </w:r>
      <w:r w:rsidRPr="00204211">
        <w:rPr>
          <w:rFonts w:ascii="Calibri" w:hAnsi="Calibri" w:cs="Calibri"/>
          <w:lang w:val="en-CA"/>
        </w:rPr>
        <w:t xml:space="preserve">nd Philosophy. Research in the </w:t>
      </w:r>
      <w:r>
        <w:rPr>
          <w:rFonts w:ascii="Calibri" w:hAnsi="Calibri" w:cs="Calibri"/>
          <w:lang w:val="en-CA"/>
        </w:rPr>
        <w:t>h</w:t>
      </w:r>
      <w:r w:rsidRPr="00204211">
        <w:rPr>
          <w:rFonts w:ascii="Calibri" w:hAnsi="Calibri" w:cs="Calibri"/>
          <w:lang w:val="en-CA"/>
        </w:rPr>
        <w:t>umanities includes creative writing, filmmaking, music composition, visual art, theatre and game design. W</w:t>
      </w:r>
      <w:r>
        <w:rPr>
          <w:rFonts w:ascii="Calibri" w:hAnsi="Calibri" w:cs="Calibri"/>
          <w:lang w:val="en-CA"/>
        </w:rPr>
        <w:t xml:space="preserve">e expect research in most </w:t>
      </w:r>
      <w:r w:rsidRPr="00204211">
        <w:rPr>
          <w:rFonts w:ascii="Calibri" w:hAnsi="Calibri" w:cs="Calibri"/>
          <w:lang w:val="en-CA"/>
        </w:rPr>
        <w:t xml:space="preserve">areas </w:t>
      </w:r>
      <w:r>
        <w:rPr>
          <w:rFonts w:ascii="Calibri" w:hAnsi="Calibri" w:cs="Calibri"/>
          <w:lang w:val="en-CA"/>
        </w:rPr>
        <w:t xml:space="preserve">to be </w:t>
      </w:r>
      <w:r w:rsidRPr="00204211">
        <w:rPr>
          <w:rFonts w:ascii="Calibri" w:hAnsi="Calibri" w:cs="Calibri"/>
          <w:lang w:val="en-CA"/>
        </w:rPr>
        <w:t>enhanced by the transformation of the Bata Library.</w:t>
      </w:r>
    </w:p>
    <w:p w14:paraId="6D6BB3A9" w14:textId="0131F1A7" w:rsidR="00121B36" w:rsidRPr="00101282" w:rsidRDefault="00B140E3" w:rsidP="00101282">
      <w:pPr>
        <w:rPr>
          <w:rFonts w:ascii="Calibri" w:hAnsi="Calibri" w:cs="Calibri"/>
        </w:rPr>
      </w:pPr>
      <w:r w:rsidRPr="007E1014">
        <w:rPr>
          <w:rFonts w:ascii="Calibri" w:hAnsi="Calibri" w:cs="Calibri"/>
        </w:rPr>
        <w:t xml:space="preserve">One </w:t>
      </w:r>
      <w:r>
        <w:rPr>
          <w:rFonts w:ascii="Calibri" w:hAnsi="Calibri" w:cs="Calibri"/>
        </w:rPr>
        <w:t xml:space="preserve">unique </w:t>
      </w:r>
      <w:r w:rsidRPr="007E1014">
        <w:rPr>
          <w:rFonts w:ascii="Calibri" w:hAnsi="Calibri" w:cs="Calibri"/>
        </w:rPr>
        <w:t xml:space="preserve">component of </w:t>
      </w:r>
      <w:r>
        <w:rPr>
          <w:rFonts w:ascii="Calibri" w:hAnsi="Calibri" w:cs="Calibri"/>
        </w:rPr>
        <w:t>Trent’s</w:t>
      </w:r>
      <w:r w:rsidRPr="007E1014">
        <w:rPr>
          <w:rFonts w:ascii="Calibri" w:hAnsi="Calibri" w:cs="Calibri"/>
        </w:rPr>
        <w:t xml:space="preserve"> research agenda is the creation of a new 85-acre Trent Research and Innovation Park (TRIP)</w:t>
      </w:r>
      <w:r>
        <w:rPr>
          <w:rFonts w:ascii="Calibri" w:hAnsi="Calibri" w:cs="Calibri"/>
        </w:rPr>
        <w:t xml:space="preserve"> on Trent land</w:t>
      </w:r>
      <w:r w:rsidRPr="007E1014">
        <w:rPr>
          <w:rFonts w:ascii="Calibri" w:hAnsi="Calibri" w:cs="Calibri"/>
        </w:rPr>
        <w:t xml:space="preserve">. Building on </w:t>
      </w:r>
      <w:r>
        <w:rPr>
          <w:rFonts w:ascii="Calibri" w:hAnsi="Calibri" w:cs="Calibri"/>
        </w:rPr>
        <w:t xml:space="preserve">Trent’s </w:t>
      </w:r>
      <w:r w:rsidRPr="007E1014">
        <w:rPr>
          <w:rFonts w:ascii="Calibri" w:hAnsi="Calibri" w:cs="Calibri"/>
        </w:rPr>
        <w:t>research strengths in Environmental Studies, Biology and Biomaterials, TRIP aims to become Canada’s premier park for the development of clean technology and green industry. It will host a cluster of companies and start-up enterprises in environmentally</w:t>
      </w:r>
      <w:r>
        <w:rPr>
          <w:rFonts w:ascii="Calibri" w:hAnsi="Calibri" w:cs="Calibri"/>
        </w:rPr>
        <w:t xml:space="preserve"> </w:t>
      </w:r>
      <w:r w:rsidRPr="007E1014">
        <w:rPr>
          <w:rFonts w:ascii="Calibri" w:hAnsi="Calibri" w:cs="Calibri"/>
        </w:rPr>
        <w:t>focused fields</w:t>
      </w:r>
      <w:r>
        <w:rPr>
          <w:rFonts w:ascii="Calibri" w:hAnsi="Calibri" w:cs="Calibri"/>
        </w:rPr>
        <w:t xml:space="preserve">, including </w:t>
      </w:r>
      <w:r w:rsidRPr="007E1014">
        <w:rPr>
          <w:rFonts w:ascii="Calibri" w:hAnsi="Calibri" w:cs="Calibri"/>
        </w:rPr>
        <w:t>water purification, environmental services, advanced material sciences, biotechnology, agri-food and agri-business.</w:t>
      </w:r>
      <w:r>
        <w:rPr>
          <w:rFonts w:ascii="Calibri" w:hAnsi="Calibri" w:cs="Calibri"/>
        </w:rPr>
        <w:t xml:space="preserve"> </w:t>
      </w:r>
      <w:r w:rsidRPr="007E1014">
        <w:rPr>
          <w:rFonts w:ascii="Calibri" w:hAnsi="Calibri" w:cs="Calibri"/>
        </w:rPr>
        <w:t>TRIP will provide work</w:t>
      </w:r>
      <w:r>
        <w:rPr>
          <w:rFonts w:ascii="Calibri" w:hAnsi="Calibri" w:cs="Calibri"/>
        </w:rPr>
        <w:t>-</w:t>
      </w:r>
      <w:r w:rsidRPr="007E1014">
        <w:rPr>
          <w:rFonts w:ascii="Calibri" w:hAnsi="Calibri" w:cs="Calibri"/>
        </w:rPr>
        <w:t>integrated learning opportunities in related areas, creating hands-on research opportunities for students</w:t>
      </w:r>
      <w:r>
        <w:rPr>
          <w:rFonts w:ascii="Calibri" w:hAnsi="Calibri" w:cs="Calibri"/>
        </w:rPr>
        <w:t xml:space="preserve"> and</w:t>
      </w:r>
      <w:r w:rsidRPr="007E1014">
        <w:rPr>
          <w:rFonts w:ascii="Calibri" w:hAnsi="Calibri" w:cs="Calibri"/>
        </w:rPr>
        <w:t xml:space="preserve"> supporting further research at Trent.</w:t>
      </w:r>
    </w:p>
    <w:p w14:paraId="57D84218" w14:textId="77777777" w:rsidR="00D3445B" w:rsidRPr="00F650BC" w:rsidRDefault="00D3445B" w:rsidP="00ED423E">
      <w:pPr>
        <w:pStyle w:val="Heading1"/>
      </w:pPr>
      <w:r>
        <w:t xml:space="preserve">Examples of Institutional Initiatives </w:t>
      </w:r>
    </w:p>
    <w:p w14:paraId="1E6C7B8C" w14:textId="77777777" w:rsidR="00B140E3" w:rsidRPr="00E40042" w:rsidRDefault="00B140E3" w:rsidP="00B140E3">
      <w:pPr>
        <w:rPr>
          <w:b/>
        </w:rPr>
      </w:pPr>
      <w:r w:rsidRPr="00E40042">
        <w:rPr>
          <w:b/>
        </w:rPr>
        <w:t>The Trent Water Quality Centre</w:t>
      </w:r>
    </w:p>
    <w:p w14:paraId="42CC61C2" w14:textId="77777777" w:rsidR="00B140E3" w:rsidRPr="007D62E6" w:rsidRDefault="00B140E3" w:rsidP="00B140E3">
      <w:pPr>
        <w:rPr>
          <w:shd w:val="clear" w:color="auto" w:fill="FFFFFF"/>
        </w:rPr>
      </w:pPr>
      <w:r>
        <w:t>Trent’s Water Quality Centre is the most comprehensive mass spectrometry facility in Canada.</w:t>
      </w:r>
      <w:r>
        <w:rPr>
          <w:rStyle w:val="FootnoteReference"/>
        </w:rPr>
        <w:footnoteReference w:id="5"/>
      </w:r>
      <w:r>
        <w:t xml:space="preserve"> It specializes in the application of new and innovative techniques for measuring isotopes and trace amounts of organic and inorganic contaminants in water and other environmental compartments. It has received nine major </w:t>
      </w:r>
      <w:r w:rsidRPr="00C274B3">
        <w:t xml:space="preserve">Canada Foundation for Innovation </w:t>
      </w:r>
      <w:r>
        <w:t>(CFI) awards.</w:t>
      </w:r>
    </w:p>
    <w:p w14:paraId="35CF1649" w14:textId="77777777" w:rsidR="00B140E3" w:rsidRPr="00E40042" w:rsidRDefault="00B140E3" w:rsidP="00B140E3">
      <w:pPr>
        <w:spacing w:before="100" w:beforeAutospacing="1" w:after="100" w:afterAutospacing="1"/>
        <w:rPr>
          <w:b/>
        </w:rPr>
      </w:pPr>
      <w:r w:rsidRPr="00E40042">
        <w:rPr>
          <w:b/>
        </w:rPr>
        <w:t>Wastewater Treatment</w:t>
      </w:r>
    </w:p>
    <w:p w14:paraId="6496BAF2" w14:textId="3321D873" w:rsidR="00B140E3" w:rsidRPr="00E40042" w:rsidRDefault="00B140E3" w:rsidP="00B140E3">
      <w:pPr>
        <w:spacing w:before="100" w:beforeAutospacing="1" w:after="100" w:afterAutospacing="1"/>
        <w:rPr>
          <w:i/>
        </w:rPr>
      </w:pPr>
      <w:r>
        <w:t>A five-year Leadership Grant from the RBC Blue Water Project (2009-2014) supported Trent’s Institute for Watershed Science, which partnered with Trent’s Indigenous Environmental Studies program and the Centre for Alternative Wastewater Treatment at Fleming College, to develop strategies for source water protection and municipal wastewater management in remote communities in Canada’s northern territories. The institute recently received a $478,800 grant from the federal government for a project aimed at providing cost-effective wastewater treatment in Indigenous communities. Partners in the project are McGill University, the Department of Environment, Aclarus Ozone Water Systems (a Peterborough company) and the Ontario First Nations Technical Services Corporation.</w:t>
      </w:r>
    </w:p>
    <w:p w14:paraId="058EBA3F" w14:textId="77777777" w:rsidR="00B140E3" w:rsidRPr="00E40042" w:rsidRDefault="00B140E3" w:rsidP="00B140E3">
      <w:pPr>
        <w:spacing w:before="100" w:beforeAutospacing="1" w:after="100" w:afterAutospacing="1"/>
        <w:rPr>
          <w:b/>
          <w:shd w:val="clear" w:color="auto" w:fill="FFFFFF"/>
        </w:rPr>
      </w:pPr>
      <w:r w:rsidRPr="00E40042">
        <w:rPr>
          <w:b/>
          <w:shd w:val="clear" w:color="auto" w:fill="FFFFFF"/>
        </w:rPr>
        <w:t xml:space="preserve">School for the Study of Canada </w:t>
      </w:r>
    </w:p>
    <w:p w14:paraId="4F8BBEAE" w14:textId="77777777" w:rsidR="00B140E3" w:rsidRDefault="00B140E3" w:rsidP="00B140E3">
      <w:pPr>
        <w:spacing w:before="100" w:beforeAutospacing="1" w:after="100" w:afterAutospacing="1"/>
      </w:pPr>
      <w:r w:rsidRPr="00716757">
        <w:rPr>
          <w:shd w:val="clear" w:color="auto" w:fill="FFFFFF"/>
        </w:rPr>
        <w:t xml:space="preserve">The School for the </w:t>
      </w:r>
      <w:r>
        <w:rPr>
          <w:shd w:val="clear" w:color="auto" w:fill="FFFFFF"/>
        </w:rPr>
        <w:t>S</w:t>
      </w:r>
      <w:r w:rsidRPr="00716757">
        <w:rPr>
          <w:shd w:val="clear" w:color="auto" w:fill="FFFFFF"/>
        </w:rPr>
        <w:t>tudy of Canada fosters research on a broad range of themes in Canadian and Indigenous Studies and in collaboration with the humanities, social sciences and other interdisciplinary fields at Trent. The School is</w:t>
      </w:r>
      <w:r w:rsidRPr="00716757">
        <w:rPr>
          <w:rFonts w:eastAsia="Times New Roman"/>
        </w:rPr>
        <w:t xml:space="preserve"> </w:t>
      </w:r>
      <w:r w:rsidRPr="00716757">
        <w:rPr>
          <w:rFonts w:eastAsia="Times New Roman"/>
          <w:shd w:val="clear" w:color="auto" w:fill="FFFFFF"/>
        </w:rPr>
        <w:t xml:space="preserve">home to over 40 scholars who study Canada, many of them national and international experts in their field. A </w:t>
      </w:r>
      <w:r>
        <w:rPr>
          <w:rFonts w:eastAsia="Times New Roman"/>
          <w:shd w:val="clear" w:color="auto" w:fill="FFFFFF"/>
        </w:rPr>
        <w:t>T</w:t>
      </w:r>
      <w:r w:rsidRPr="00716757">
        <w:rPr>
          <w:rFonts w:eastAsia="Times New Roman"/>
          <w:shd w:val="clear" w:color="auto" w:fill="FFFFFF"/>
        </w:rPr>
        <w:t>ier I Canada Research Chair in the study of the North is being hired to support the School. Well-established BA, MA and PhD programs have earned the School a national reputation for teaching and research.</w:t>
      </w:r>
    </w:p>
    <w:p w14:paraId="3F1EF11A" w14:textId="77777777" w:rsidR="00B140E3" w:rsidRPr="00E40042" w:rsidRDefault="00B140E3" w:rsidP="00B140E3">
      <w:pPr>
        <w:spacing w:before="100" w:beforeAutospacing="1" w:after="100" w:afterAutospacing="1"/>
        <w:rPr>
          <w:b/>
          <w:shd w:val="clear" w:color="auto" w:fill="FFFFFF"/>
        </w:rPr>
      </w:pPr>
      <w:r w:rsidRPr="00E40042">
        <w:rPr>
          <w:b/>
          <w:shd w:val="clear" w:color="auto" w:fill="FFFFFF"/>
        </w:rPr>
        <w:t xml:space="preserve">Research on </w:t>
      </w:r>
      <w:r w:rsidRPr="00E40042">
        <w:rPr>
          <w:b/>
        </w:rPr>
        <w:t xml:space="preserve">Aboriginal </w:t>
      </w:r>
      <w:r>
        <w:rPr>
          <w:b/>
        </w:rPr>
        <w:t>C</w:t>
      </w:r>
      <w:r w:rsidRPr="00E40042">
        <w:rPr>
          <w:b/>
        </w:rPr>
        <w:t>ommunities in the Arctic</w:t>
      </w:r>
      <w:r w:rsidRPr="00E40042">
        <w:rPr>
          <w:b/>
          <w:shd w:val="clear" w:color="auto" w:fill="FFFFFF"/>
        </w:rPr>
        <w:t xml:space="preserve"> </w:t>
      </w:r>
    </w:p>
    <w:p w14:paraId="21144EC2" w14:textId="77777777" w:rsidR="00B140E3" w:rsidRPr="000D6BE0" w:rsidRDefault="00B140E3" w:rsidP="00B140E3">
      <w:pPr>
        <w:spacing w:before="100" w:beforeAutospacing="1" w:after="100" w:afterAutospacing="1"/>
      </w:pPr>
      <w:r w:rsidRPr="00716757">
        <w:rPr>
          <w:shd w:val="clear" w:color="auto" w:fill="FFFFFF"/>
        </w:rPr>
        <w:t>Faculty in</w:t>
      </w:r>
      <w:r>
        <w:t xml:space="preserve"> the Departments of Indigenous Studies and Environmental Resource Studies and Sciences are key contributors to national and international science assessments on Arctic environmental health issues, including the human dimensions of climate change and environmental contaminants. One of these faculty was lead author with the United Nations Intergovernmental Panel on Climate Change Fourth Assessment, which received the 2007 Nobel Prize for raising awareness of global climate change. </w:t>
      </w:r>
    </w:p>
    <w:p w14:paraId="231E39ED" w14:textId="77777777" w:rsidR="00B140E3" w:rsidRPr="00E40042" w:rsidRDefault="00B140E3" w:rsidP="00B140E3">
      <w:pPr>
        <w:spacing w:before="100" w:beforeAutospacing="1" w:after="100" w:afterAutospacing="1"/>
        <w:rPr>
          <w:b/>
        </w:rPr>
      </w:pPr>
      <w:r w:rsidRPr="00E40042">
        <w:rPr>
          <w:b/>
        </w:rPr>
        <w:t>Gender and Women’s Studies</w:t>
      </w:r>
    </w:p>
    <w:p w14:paraId="59A0FD95" w14:textId="77777777" w:rsidR="00B140E3" w:rsidRPr="000D6BE0" w:rsidRDefault="00B140E3" w:rsidP="00B140E3">
      <w:pPr>
        <w:spacing w:before="100" w:beforeAutospacing="1" w:after="100" w:afterAutospacing="1"/>
      </w:pPr>
      <w:r>
        <w:t xml:space="preserve">Trent offers a </w:t>
      </w:r>
      <w:r w:rsidRPr="00716757">
        <w:rPr>
          <w:shd w:val="clear" w:color="auto" w:fill="FFFFFF"/>
        </w:rPr>
        <w:t xml:space="preserve">BA in Gender and Women’s Studies </w:t>
      </w:r>
      <w:r>
        <w:rPr>
          <w:shd w:val="clear" w:color="auto" w:fill="FFFFFF"/>
        </w:rPr>
        <w:t>and</w:t>
      </w:r>
      <w:r w:rsidRPr="00716757">
        <w:rPr>
          <w:shd w:val="clear" w:color="auto" w:fill="FFFFFF"/>
        </w:rPr>
        <w:t xml:space="preserve"> a Graduate Specialization in Feminist and Gender Studies. The department’s </w:t>
      </w:r>
      <w:r>
        <w:t>Canada Research Chair works with almost 30 faculty members undertaking related research. Her work includes a five-year study of why and how older women across North America are mobilizing and building alliances around a number of crucial social issues, including climate justice, violence against Indigenous women and global health inequalities.</w:t>
      </w:r>
    </w:p>
    <w:p w14:paraId="102D17B8" w14:textId="77777777" w:rsidR="00B140E3" w:rsidRPr="00E40042" w:rsidRDefault="00B140E3" w:rsidP="00B140E3">
      <w:pPr>
        <w:rPr>
          <w:b/>
        </w:rPr>
      </w:pPr>
      <w:r w:rsidRPr="00E40042">
        <w:rPr>
          <w:b/>
        </w:rPr>
        <w:t>Expressive Arts and Aging</w:t>
      </w:r>
    </w:p>
    <w:p w14:paraId="2CF3B879" w14:textId="77777777" w:rsidR="00B140E3" w:rsidRDefault="00B140E3" w:rsidP="00B140E3">
      <w:r>
        <w:t xml:space="preserve">One of the professors in the Trent/Fleming School of Nursing has developed an innovative program designed to address social isolation among rural senior citizens. It has been found that connecting socially isolated older rural adults with older volunteers through expressive arts, with art as the mediator, has many positive benefits for the socially isolated, including improved mental health outcomes. </w:t>
      </w:r>
    </w:p>
    <w:p w14:paraId="1CF8D080" w14:textId="77777777" w:rsidR="00B140E3" w:rsidRDefault="00B140E3" w:rsidP="00B140E3">
      <w:pPr>
        <w:rPr>
          <w:b/>
          <w:bCs/>
        </w:rPr>
      </w:pPr>
      <w:r>
        <w:rPr>
          <w:b/>
          <w:bCs/>
        </w:rPr>
        <w:t xml:space="preserve">Trent Centre for Biomaterials Research </w:t>
      </w:r>
    </w:p>
    <w:p w14:paraId="1063907A" w14:textId="77777777" w:rsidR="00B140E3" w:rsidRDefault="00B140E3" w:rsidP="00B140E3">
      <w:pPr>
        <w:rPr>
          <w:i/>
          <w:iCs/>
        </w:rPr>
      </w:pPr>
      <w:r>
        <w:t xml:space="preserve">The Director of the Centre is the former Ontario Research Chair in Green Chemistry and Engineering and </w:t>
      </w:r>
      <w:r w:rsidRPr="00927B61">
        <w:t xml:space="preserve">is currently the Grain Farmers of Ontario NSERC </w:t>
      </w:r>
      <w:r>
        <w:t xml:space="preserve">Senior Industrial Research Chair in Lipid Derived Biomaterials. Under his leadership, the Centre has signed collaborative research agreements with the Mahatma Ghandi University in Kerala, India, The Hebrew </w:t>
      </w:r>
      <w:r w:rsidRPr="00927B61">
        <w:t xml:space="preserve">University of Jerusalem, the </w:t>
      </w:r>
      <w:r>
        <w:t xml:space="preserve">University of the West Indies in Cave Hill, Barbados and the Universidade Estadual Paulista in Botucatu, Brazil. The relationships with Guyana, Israel, India, Barbados and Brazil also allow for cross-fertilization among undergraduate and graduate students in multi-country, multi-disciplinary research projects supported </w:t>
      </w:r>
      <w:r w:rsidRPr="00927B61">
        <w:t xml:space="preserve">by an industrial partner consortium </w:t>
      </w:r>
      <w:r>
        <w:t>and various levels of government in the respective countries.</w:t>
      </w:r>
    </w:p>
    <w:p w14:paraId="56AA40DB" w14:textId="77777777" w:rsidR="00B140E3" w:rsidRPr="00E40042" w:rsidRDefault="00B140E3" w:rsidP="00B140E3">
      <w:pPr>
        <w:rPr>
          <w:b/>
          <w:iCs/>
        </w:rPr>
      </w:pPr>
      <w:r w:rsidRPr="00E40042">
        <w:rPr>
          <w:b/>
          <w:iCs/>
        </w:rPr>
        <w:t xml:space="preserve">The Natural Resources DNA Profiling </w:t>
      </w:r>
      <w:r>
        <w:rPr>
          <w:b/>
          <w:iCs/>
        </w:rPr>
        <w:t>and</w:t>
      </w:r>
      <w:r w:rsidRPr="00E40042">
        <w:rPr>
          <w:b/>
          <w:iCs/>
        </w:rPr>
        <w:t xml:space="preserve"> Forensic Centre (NRDPFC) </w:t>
      </w:r>
    </w:p>
    <w:p w14:paraId="3A5658FB" w14:textId="1915EA73" w:rsidR="00AC4902" w:rsidRPr="00101282" w:rsidRDefault="00B140E3" w:rsidP="001A212E">
      <w:pPr>
        <w:rPr>
          <w:i/>
        </w:rPr>
      </w:pPr>
      <w:r w:rsidRPr="00FF3E37">
        <w:t xml:space="preserve">The NRDPFC is a Trent Research centre and analytical services facility serving global clients in the wildlife conservation, food security and agricultural sectors. A cornerstone partnership in wildlife management has been established with the Ministry of Natural Resources </w:t>
      </w:r>
      <w:r>
        <w:t>and</w:t>
      </w:r>
      <w:r w:rsidRPr="00FF3E37">
        <w:t xml:space="preserve"> Forestry (which has offices located at Trent University). The Centre is equipped with instrumentation for robotic, high throughput, long-term genetic monitoring of natural populations. The infrastructure also includes a</w:t>
      </w:r>
      <w:r>
        <w:t>n</w:t>
      </w:r>
      <w:r w:rsidRPr="00FF3E37">
        <w:t xml:space="preserve"> environmentally controlled Aurora Greenhouse, a Bio-containment Level III facility, an Ancient DNA Laboratory, a Wildlife Disease Laboratory, small and large animal necropsy facilities and Genomics and Automation Laboratories. The NRDPFC is currently involved in collaborations to produce DNA proofing databases on a number of Ontario species, including caribou, moose, white-tailed deer, wolves, black bears and elk. Agri-food databases include dairy goats, broiler chickens and laying hens. The facility also stores DNA samples and maintains databases for several international species at risk, including the North Atlantic Right Whale. The Wildlife DNA Forensic Laboratory provides training programs and services for a number of national and international agencies.</w:t>
      </w:r>
    </w:p>
    <w:p w14:paraId="1DA07060" w14:textId="77777777" w:rsidR="004931B7" w:rsidRDefault="000F273B" w:rsidP="00ED423E">
      <w:pPr>
        <w:pStyle w:val="Heading1"/>
      </w:pPr>
      <w:r w:rsidRPr="00CB3CD1">
        <w:t>M</w:t>
      </w:r>
      <w:r w:rsidR="00980993" w:rsidRPr="00CB3CD1">
        <w:t xml:space="preserve">etrics </w:t>
      </w:r>
      <w:r w:rsidRPr="00CB3CD1">
        <w:t>and</w:t>
      </w:r>
      <w:r w:rsidR="00980993" w:rsidRPr="00CB3CD1">
        <w:t xml:space="preserve"> Targets </w:t>
      </w:r>
    </w:p>
    <w:p w14:paraId="2F03C886" w14:textId="77777777" w:rsidR="008922E0" w:rsidRDefault="008922E0" w:rsidP="00624223"/>
    <w:tbl>
      <w:tblPr>
        <w:tblStyle w:val="TableGrid1"/>
        <w:tblW w:w="0" w:type="auto"/>
        <w:tblLook w:val="04A0" w:firstRow="1" w:lastRow="0" w:firstColumn="1" w:lastColumn="0" w:noHBand="0" w:noVBand="1"/>
      </w:tblPr>
      <w:tblGrid>
        <w:gridCol w:w="7196"/>
        <w:gridCol w:w="2835"/>
      </w:tblGrid>
      <w:tr w:rsidR="008922E0" w14:paraId="2FAFD9E0" w14:textId="77777777" w:rsidTr="00350A0C">
        <w:tc>
          <w:tcPr>
            <w:tcW w:w="7196" w:type="dxa"/>
          </w:tcPr>
          <w:p w14:paraId="3F30989E" w14:textId="77777777" w:rsidR="008922E0" w:rsidRPr="000906CB" w:rsidRDefault="008922E0" w:rsidP="00350A0C">
            <w:pPr>
              <w:jc w:val="center"/>
              <w:rPr>
                <w:rFonts w:asciiTheme="minorHAnsi" w:hAnsiTheme="minorHAnsi" w:cstheme="minorHAnsi"/>
                <w:b/>
                <w:sz w:val="24"/>
              </w:rPr>
            </w:pPr>
            <w:r w:rsidRPr="000906CB">
              <w:rPr>
                <w:rFonts w:asciiTheme="minorHAnsi" w:hAnsiTheme="minorHAnsi" w:cstheme="minorHAnsi"/>
                <w:b/>
                <w:sz w:val="24"/>
              </w:rPr>
              <w:t>System-Wide Metrics</w:t>
            </w:r>
          </w:p>
        </w:tc>
        <w:tc>
          <w:tcPr>
            <w:tcW w:w="2835" w:type="dxa"/>
          </w:tcPr>
          <w:p w14:paraId="465BBA5E" w14:textId="77777777" w:rsidR="008922E0" w:rsidRPr="000906CB" w:rsidRDefault="008922E0" w:rsidP="00350A0C">
            <w:pPr>
              <w:jc w:val="center"/>
              <w:rPr>
                <w:rFonts w:asciiTheme="minorHAnsi" w:hAnsiTheme="minorHAnsi" w:cstheme="minorHAnsi"/>
                <w:b/>
                <w:sz w:val="24"/>
              </w:rPr>
            </w:pPr>
            <w:r w:rsidRPr="000906CB">
              <w:rPr>
                <w:rFonts w:asciiTheme="minorHAnsi" w:hAnsiTheme="minorHAnsi" w:cstheme="minorHAnsi"/>
                <w:b/>
                <w:sz w:val="24"/>
              </w:rPr>
              <w:t>2019-20 Target</w:t>
            </w:r>
          </w:p>
          <w:p w14:paraId="4809813D" w14:textId="77777777" w:rsidR="008922E0" w:rsidRPr="000906CB" w:rsidRDefault="008922E0" w:rsidP="00350A0C">
            <w:pPr>
              <w:jc w:val="center"/>
              <w:rPr>
                <w:rFonts w:asciiTheme="minorHAnsi" w:hAnsiTheme="minorHAnsi" w:cstheme="minorHAnsi"/>
                <w:b/>
                <w:sz w:val="24"/>
              </w:rPr>
            </w:pPr>
          </w:p>
        </w:tc>
      </w:tr>
      <w:tr w:rsidR="005C63C0" w14:paraId="4C967B2A" w14:textId="77777777" w:rsidTr="00FA73E3">
        <w:tc>
          <w:tcPr>
            <w:tcW w:w="7196" w:type="dxa"/>
          </w:tcPr>
          <w:p w14:paraId="0846429E" w14:textId="77777777" w:rsidR="005C63C0" w:rsidRDefault="005C63C0" w:rsidP="00624223">
            <w:pPr>
              <w:rPr>
                <w:rStyle w:val="Emphasis"/>
                <w:rFonts w:asciiTheme="minorHAnsi" w:hAnsiTheme="minorHAnsi" w:cstheme="minorHAnsi"/>
                <w:b w:val="0"/>
                <w:i w:val="0"/>
                <w:sz w:val="22"/>
                <w:szCs w:val="22"/>
              </w:rPr>
            </w:pPr>
            <w:r w:rsidRPr="00624223">
              <w:rPr>
                <w:rStyle w:val="Emphasis"/>
                <w:rFonts w:asciiTheme="minorHAnsi" w:hAnsiTheme="minorHAnsi" w:cstheme="minorHAnsi"/>
                <w:b w:val="0"/>
                <w:i w:val="0"/>
                <w:sz w:val="22"/>
                <w:szCs w:val="22"/>
              </w:rPr>
              <w:t>Tri-council funding (total and share by council)</w:t>
            </w:r>
          </w:p>
          <w:p w14:paraId="0A764B84" w14:textId="77777777" w:rsidR="005C63C0" w:rsidRPr="00624223" w:rsidRDefault="005C63C0" w:rsidP="00624223"/>
        </w:tc>
        <w:tc>
          <w:tcPr>
            <w:tcW w:w="2835" w:type="dxa"/>
            <w:shd w:val="clear" w:color="auto" w:fill="auto"/>
          </w:tcPr>
          <w:p w14:paraId="773BCF8E" w14:textId="3DD5132B" w:rsidR="005C63C0" w:rsidRPr="005C63C0" w:rsidRDefault="005C63C0" w:rsidP="00350A0C">
            <w:pPr>
              <w:rPr>
                <w:rFonts w:asciiTheme="minorHAnsi" w:hAnsiTheme="minorHAnsi" w:cstheme="minorHAnsi"/>
                <w:sz w:val="22"/>
                <w:szCs w:val="22"/>
              </w:rPr>
            </w:pPr>
            <w:r w:rsidRPr="005C63C0">
              <w:rPr>
                <w:rFonts w:asciiTheme="minorHAnsi" w:hAnsiTheme="minorHAnsi" w:cstheme="minorHAnsi"/>
                <w:sz w:val="22"/>
                <w:szCs w:val="22"/>
              </w:rPr>
              <w:t>NSERC  $3.01M; CIHR $0.13M; SSHRC $0.95M; Total $4.09M*</w:t>
            </w:r>
          </w:p>
        </w:tc>
      </w:tr>
      <w:tr w:rsidR="005C63C0" w14:paraId="01FA0876" w14:textId="77777777" w:rsidTr="00FA73E3">
        <w:tc>
          <w:tcPr>
            <w:tcW w:w="7196" w:type="dxa"/>
          </w:tcPr>
          <w:p w14:paraId="43FFC868" w14:textId="77777777" w:rsidR="005C63C0" w:rsidRPr="00624223" w:rsidRDefault="005C63C0" w:rsidP="00624223">
            <w:pPr>
              <w:rPr>
                <w:rStyle w:val="Emphasis"/>
                <w:rFonts w:asciiTheme="minorHAnsi" w:hAnsiTheme="minorHAnsi" w:cstheme="minorHAnsi"/>
                <w:b w:val="0"/>
                <w:i w:val="0"/>
                <w:sz w:val="22"/>
                <w:szCs w:val="22"/>
              </w:rPr>
            </w:pPr>
            <w:r w:rsidRPr="00624223">
              <w:rPr>
                <w:rStyle w:val="Emphasis"/>
                <w:rFonts w:asciiTheme="minorHAnsi" w:hAnsiTheme="minorHAnsi" w:cstheme="minorHAnsi"/>
                <w:b w:val="0"/>
                <w:i w:val="0"/>
                <w:sz w:val="22"/>
                <w:szCs w:val="22"/>
              </w:rPr>
              <w:t>Number of papers (total and per full-time faculty)</w:t>
            </w:r>
          </w:p>
          <w:p w14:paraId="46B828EE" w14:textId="77777777" w:rsidR="005C63C0" w:rsidRPr="00624223" w:rsidRDefault="005C63C0" w:rsidP="00624223"/>
        </w:tc>
        <w:tc>
          <w:tcPr>
            <w:tcW w:w="2835" w:type="dxa"/>
            <w:shd w:val="clear" w:color="auto" w:fill="auto"/>
          </w:tcPr>
          <w:p w14:paraId="22070290" w14:textId="53067389" w:rsidR="005C63C0" w:rsidRPr="005C63C0" w:rsidRDefault="005C63C0" w:rsidP="00350A0C">
            <w:pPr>
              <w:rPr>
                <w:rFonts w:asciiTheme="minorHAnsi" w:hAnsiTheme="minorHAnsi" w:cstheme="minorHAnsi"/>
                <w:sz w:val="22"/>
                <w:szCs w:val="22"/>
              </w:rPr>
            </w:pPr>
            <w:r w:rsidRPr="005C63C0">
              <w:rPr>
                <w:rFonts w:asciiTheme="minorHAnsi" w:hAnsiTheme="minorHAnsi" w:cstheme="minorHAnsi"/>
                <w:sz w:val="22"/>
                <w:szCs w:val="22"/>
              </w:rPr>
              <w:t xml:space="preserve"> 300*; 1.33</w:t>
            </w:r>
          </w:p>
        </w:tc>
      </w:tr>
      <w:tr w:rsidR="005C63C0" w14:paraId="33C8429F" w14:textId="77777777" w:rsidTr="00FA73E3">
        <w:trPr>
          <w:trHeight w:val="60"/>
        </w:trPr>
        <w:tc>
          <w:tcPr>
            <w:tcW w:w="7196" w:type="dxa"/>
          </w:tcPr>
          <w:p w14:paraId="7023488B" w14:textId="77777777" w:rsidR="005C63C0" w:rsidRDefault="005C63C0" w:rsidP="00624223">
            <w:pPr>
              <w:rPr>
                <w:rStyle w:val="Emphasis"/>
                <w:rFonts w:asciiTheme="minorHAnsi" w:hAnsiTheme="minorHAnsi" w:cstheme="minorHAnsi"/>
                <w:b w:val="0"/>
                <w:i w:val="0"/>
                <w:sz w:val="22"/>
                <w:szCs w:val="22"/>
              </w:rPr>
            </w:pPr>
            <w:r w:rsidRPr="00624223">
              <w:rPr>
                <w:rStyle w:val="Emphasis"/>
                <w:rFonts w:asciiTheme="minorHAnsi" w:hAnsiTheme="minorHAnsi" w:cstheme="minorHAnsi"/>
                <w:b w:val="0"/>
                <w:i w:val="0"/>
                <w:sz w:val="22"/>
                <w:szCs w:val="22"/>
              </w:rPr>
              <w:t>Number of citations (total and per paper)</w:t>
            </w:r>
          </w:p>
          <w:p w14:paraId="14A2E6C0" w14:textId="77777777" w:rsidR="005C63C0" w:rsidRPr="00624223" w:rsidRDefault="005C63C0" w:rsidP="00624223"/>
        </w:tc>
        <w:tc>
          <w:tcPr>
            <w:tcW w:w="2835" w:type="dxa"/>
            <w:shd w:val="clear" w:color="auto" w:fill="auto"/>
          </w:tcPr>
          <w:p w14:paraId="487B0DAB" w14:textId="2ADE17A1" w:rsidR="005C63C0" w:rsidRPr="005C63C0" w:rsidRDefault="005C63C0" w:rsidP="00350A0C">
            <w:pPr>
              <w:rPr>
                <w:rFonts w:asciiTheme="minorHAnsi" w:hAnsiTheme="minorHAnsi" w:cstheme="minorHAnsi"/>
                <w:sz w:val="22"/>
                <w:szCs w:val="22"/>
              </w:rPr>
            </w:pPr>
            <w:r w:rsidRPr="005C63C0">
              <w:rPr>
                <w:rFonts w:asciiTheme="minorHAnsi" w:hAnsiTheme="minorHAnsi" w:cstheme="minorHAnsi"/>
                <w:sz w:val="22"/>
                <w:szCs w:val="22"/>
              </w:rPr>
              <w:t xml:space="preserve"> Maintain current levels</w:t>
            </w:r>
          </w:p>
        </w:tc>
      </w:tr>
    </w:tbl>
    <w:p w14:paraId="21FC5BBD" w14:textId="77777777" w:rsidR="005C63C0" w:rsidRPr="005C63C0" w:rsidRDefault="005C63C0" w:rsidP="005C63C0">
      <w:pPr>
        <w:pStyle w:val="PlainText"/>
        <w:rPr>
          <w:sz w:val="20"/>
          <w:szCs w:val="20"/>
        </w:rPr>
      </w:pPr>
      <w:r w:rsidRPr="005C63C0">
        <w:t xml:space="preserve">* </w:t>
      </w:r>
      <w:r w:rsidRPr="005C63C0">
        <w:rPr>
          <w:sz w:val="20"/>
          <w:szCs w:val="20"/>
        </w:rPr>
        <w:t>Given its strengths and size, Trent's main focus is on total Tri-Council funding and total number of papers</w:t>
      </w:r>
    </w:p>
    <w:p w14:paraId="24B09E03" w14:textId="77777777" w:rsidR="008922E0" w:rsidRPr="005C63C0" w:rsidRDefault="008922E0" w:rsidP="008922E0">
      <w:pPr>
        <w:rPr>
          <w:lang w:val="en-CA"/>
        </w:rPr>
      </w:pPr>
    </w:p>
    <w:tbl>
      <w:tblPr>
        <w:tblStyle w:val="TableGrid1"/>
        <w:tblW w:w="0" w:type="auto"/>
        <w:tblLook w:val="04A0" w:firstRow="1" w:lastRow="0" w:firstColumn="1" w:lastColumn="0" w:noHBand="0" w:noVBand="1"/>
      </w:tblPr>
      <w:tblGrid>
        <w:gridCol w:w="7196"/>
        <w:gridCol w:w="2835"/>
      </w:tblGrid>
      <w:tr w:rsidR="008922E0" w14:paraId="07D06A32" w14:textId="77777777" w:rsidTr="00350A0C">
        <w:tc>
          <w:tcPr>
            <w:tcW w:w="7196" w:type="dxa"/>
          </w:tcPr>
          <w:p w14:paraId="26AAA12C" w14:textId="77777777" w:rsidR="008922E0" w:rsidRPr="000906CB" w:rsidRDefault="008922E0" w:rsidP="00FA73E3">
            <w:pPr>
              <w:jc w:val="center"/>
              <w:rPr>
                <w:rFonts w:asciiTheme="minorHAnsi" w:hAnsiTheme="minorHAnsi" w:cstheme="minorHAnsi"/>
                <w:b/>
                <w:sz w:val="24"/>
                <w:szCs w:val="24"/>
              </w:rPr>
            </w:pPr>
            <w:r w:rsidRPr="000906CB">
              <w:rPr>
                <w:rFonts w:asciiTheme="minorHAnsi" w:hAnsiTheme="minorHAnsi" w:cstheme="minorHAnsi"/>
                <w:b/>
                <w:sz w:val="24"/>
                <w:szCs w:val="24"/>
              </w:rPr>
              <w:t>Institution</w:t>
            </w:r>
            <w:r w:rsidR="00FA73E3">
              <w:rPr>
                <w:rFonts w:asciiTheme="minorHAnsi" w:hAnsiTheme="minorHAnsi" w:cstheme="minorHAnsi"/>
                <w:b/>
                <w:sz w:val="24"/>
                <w:szCs w:val="24"/>
              </w:rPr>
              <w:t>-Specific</w:t>
            </w:r>
            <w:r w:rsidRPr="000906CB">
              <w:rPr>
                <w:rFonts w:asciiTheme="minorHAnsi" w:hAnsiTheme="minorHAnsi" w:cstheme="minorHAnsi"/>
                <w:b/>
                <w:sz w:val="24"/>
                <w:szCs w:val="24"/>
              </w:rPr>
              <w:t xml:space="preserve"> Metrics</w:t>
            </w:r>
          </w:p>
        </w:tc>
        <w:tc>
          <w:tcPr>
            <w:tcW w:w="2835" w:type="dxa"/>
          </w:tcPr>
          <w:p w14:paraId="7AF5E4C8" w14:textId="77777777" w:rsidR="008922E0" w:rsidRPr="000906CB" w:rsidRDefault="008922E0" w:rsidP="00350A0C">
            <w:pPr>
              <w:jc w:val="center"/>
              <w:rPr>
                <w:rFonts w:asciiTheme="minorHAnsi" w:hAnsiTheme="minorHAnsi" w:cstheme="minorHAnsi"/>
                <w:b/>
                <w:sz w:val="24"/>
                <w:szCs w:val="24"/>
              </w:rPr>
            </w:pPr>
            <w:r w:rsidRPr="000906CB">
              <w:rPr>
                <w:rFonts w:asciiTheme="minorHAnsi" w:hAnsiTheme="minorHAnsi" w:cstheme="minorHAnsi"/>
                <w:b/>
                <w:sz w:val="24"/>
                <w:szCs w:val="24"/>
              </w:rPr>
              <w:t>2019-20 Target</w:t>
            </w:r>
          </w:p>
          <w:p w14:paraId="4656B7A7" w14:textId="77777777" w:rsidR="008922E0" w:rsidRPr="000906CB" w:rsidRDefault="008922E0" w:rsidP="00350A0C">
            <w:pPr>
              <w:jc w:val="center"/>
              <w:rPr>
                <w:rFonts w:asciiTheme="minorHAnsi" w:hAnsiTheme="minorHAnsi" w:cstheme="minorHAnsi"/>
                <w:b/>
                <w:sz w:val="24"/>
                <w:szCs w:val="24"/>
              </w:rPr>
            </w:pPr>
          </w:p>
        </w:tc>
      </w:tr>
      <w:tr w:rsidR="008922E0" w14:paraId="3F1B5E05" w14:textId="77777777" w:rsidTr="00350A0C">
        <w:tc>
          <w:tcPr>
            <w:tcW w:w="7196" w:type="dxa"/>
          </w:tcPr>
          <w:p w14:paraId="6186C28C" w14:textId="77777777" w:rsidR="008922E0" w:rsidRPr="00624223" w:rsidRDefault="00B140E3" w:rsidP="00624223">
            <w:pPr>
              <w:rPr>
                <w:rStyle w:val="Emphasis"/>
                <w:rFonts w:asciiTheme="minorHAnsi" w:hAnsiTheme="minorHAnsi" w:cstheme="minorHAnsi"/>
                <w:b w:val="0"/>
                <w:i w:val="0"/>
                <w:sz w:val="22"/>
                <w:szCs w:val="22"/>
              </w:rPr>
            </w:pPr>
            <w:r w:rsidRPr="00B140E3">
              <w:rPr>
                <w:rStyle w:val="Emphasis"/>
                <w:rFonts w:asciiTheme="minorHAnsi" w:hAnsiTheme="minorHAnsi" w:cstheme="minorHAnsi"/>
                <w:b w:val="0"/>
                <w:i w:val="0"/>
                <w:sz w:val="22"/>
                <w:szCs w:val="22"/>
              </w:rPr>
              <w:t>Funding per university faculty (Research InfoSource)</w:t>
            </w:r>
          </w:p>
          <w:p w14:paraId="09E27285" w14:textId="77777777" w:rsidR="008922E0" w:rsidRPr="00624223" w:rsidRDefault="008922E0" w:rsidP="00624223">
            <w:pPr>
              <w:rPr>
                <w:rFonts w:asciiTheme="minorHAnsi" w:hAnsiTheme="minorHAnsi" w:cstheme="minorHAnsi"/>
              </w:rPr>
            </w:pPr>
          </w:p>
        </w:tc>
        <w:tc>
          <w:tcPr>
            <w:tcW w:w="2835" w:type="dxa"/>
          </w:tcPr>
          <w:p w14:paraId="4F4FFCE1" w14:textId="77777777" w:rsidR="008922E0" w:rsidRPr="00624223" w:rsidRDefault="00B140E3" w:rsidP="00624223">
            <w:pPr>
              <w:rPr>
                <w:rStyle w:val="Emphasis"/>
                <w:rFonts w:asciiTheme="minorHAnsi" w:hAnsiTheme="minorHAnsi" w:cstheme="minorHAnsi"/>
                <w:b w:val="0"/>
                <w:i w:val="0"/>
                <w:sz w:val="22"/>
                <w:szCs w:val="22"/>
              </w:rPr>
            </w:pPr>
            <w:r>
              <w:rPr>
                <w:rStyle w:val="Emphasis"/>
                <w:rFonts w:asciiTheme="minorHAnsi" w:hAnsiTheme="minorHAnsi" w:cstheme="minorHAnsi"/>
                <w:b w:val="0"/>
                <w:i w:val="0"/>
                <w:sz w:val="22"/>
                <w:szCs w:val="22"/>
              </w:rPr>
              <w:t>56,300</w:t>
            </w:r>
            <w:r w:rsidR="00FA73E3">
              <w:rPr>
                <w:rStyle w:val="Emphasis"/>
                <w:rFonts w:asciiTheme="minorHAnsi" w:hAnsiTheme="minorHAnsi" w:cstheme="minorHAnsi"/>
                <w:b w:val="0"/>
                <w:i w:val="0"/>
                <w:sz w:val="22"/>
                <w:szCs w:val="22"/>
              </w:rPr>
              <w:t xml:space="preserve"> </w:t>
            </w:r>
          </w:p>
          <w:p w14:paraId="4AA53627" w14:textId="77777777" w:rsidR="008922E0" w:rsidRPr="00624223" w:rsidRDefault="008922E0" w:rsidP="00624223">
            <w:pPr>
              <w:rPr>
                <w:rFonts w:asciiTheme="minorHAnsi" w:hAnsiTheme="minorHAnsi" w:cstheme="minorHAnsi"/>
              </w:rPr>
            </w:pPr>
          </w:p>
        </w:tc>
      </w:tr>
      <w:tr w:rsidR="008922E0" w14:paraId="2B8EC056" w14:textId="77777777" w:rsidTr="00350A0C">
        <w:tc>
          <w:tcPr>
            <w:tcW w:w="7196" w:type="dxa"/>
          </w:tcPr>
          <w:p w14:paraId="17F2B638" w14:textId="77777777" w:rsidR="008922E0" w:rsidRPr="00624223" w:rsidRDefault="00B140E3" w:rsidP="00624223">
            <w:pPr>
              <w:rPr>
                <w:rFonts w:asciiTheme="minorHAnsi" w:hAnsiTheme="minorHAnsi" w:cstheme="minorHAnsi"/>
              </w:rPr>
            </w:pPr>
            <w:r w:rsidRPr="00B140E3">
              <w:rPr>
                <w:rStyle w:val="Emphasis"/>
                <w:rFonts w:asciiTheme="minorHAnsi" w:hAnsiTheme="minorHAnsi" w:cstheme="minorHAnsi"/>
                <w:b w:val="0"/>
                <w:i w:val="0"/>
                <w:sz w:val="22"/>
                <w:szCs w:val="22"/>
              </w:rPr>
              <w:t>Research output (Research InfoSource)</w:t>
            </w:r>
          </w:p>
        </w:tc>
        <w:tc>
          <w:tcPr>
            <w:tcW w:w="2835" w:type="dxa"/>
          </w:tcPr>
          <w:p w14:paraId="554531FF" w14:textId="77777777" w:rsidR="008922E0" w:rsidRPr="00624223" w:rsidRDefault="00B140E3" w:rsidP="00624223">
            <w:pPr>
              <w:rPr>
                <w:rStyle w:val="Emphasis"/>
                <w:rFonts w:asciiTheme="minorHAnsi" w:hAnsiTheme="minorHAnsi" w:cstheme="minorHAnsi"/>
                <w:b w:val="0"/>
                <w:i w:val="0"/>
                <w:sz w:val="22"/>
                <w:szCs w:val="22"/>
              </w:rPr>
            </w:pPr>
            <w:r>
              <w:rPr>
                <w:rStyle w:val="Emphasis"/>
                <w:rFonts w:asciiTheme="minorHAnsi" w:hAnsiTheme="minorHAnsi" w:cstheme="minorHAnsi"/>
                <w:b w:val="0"/>
                <w:i w:val="0"/>
                <w:sz w:val="22"/>
                <w:szCs w:val="22"/>
              </w:rPr>
              <w:t>32.7</w:t>
            </w:r>
            <w:r w:rsidR="00FA73E3">
              <w:rPr>
                <w:rStyle w:val="Emphasis"/>
                <w:rFonts w:asciiTheme="minorHAnsi" w:hAnsiTheme="minorHAnsi" w:cstheme="minorHAnsi"/>
                <w:b w:val="0"/>
                <w:i w:val="0"/>
                <w:sz w:val="22"/>
                <w:szCs w:val="22"/>
              </w:rPr>
              <w:t xml:space="preserve"> </w:t>
            </w:r>
          </w:p>
          <w:p w14:paraId="5A9BF18E" w14:textId="77777777" w:rsidR="008922E0" w:rsidRPr="00624223" w:rsidRDefault="008922E0" w:rsidP="00624223">
            <w:pPr>
              <w:rPr>
                <w:rFonts w:asciiTheme="minorHAnsi" w:hAnsiTheme="minorHAnsi" w:cstheme="minorHAnsi"/>
              </w:rPr>
            </w:pPr>
          </w:p>
        </w:tc>
      </w:tr>
      <w:tr w:rsidR="00B140E3" w14:paraId="0447A1E1" w14:textId="77777777" w:rsidTr="00350A0C">
        <w:tc>
          <w:tcPr>
            <w:tcW w:w="7196" w:type="dxa"/>
          </w:tcPr>
          <w:p w14:paraId="1E755E5D" w14:textId="77777777" w:rsidR="00B140E3" w:rsidRPr="00B140E3" w:rsidRDefault="00B140E3" w:rsidP="00624223">
            <w:pPr>
              <w:rPr>
                <w:rStyle w:val="Emphasis"/>
                <w:rFonts w:asciiTheme="minorHAnsi" w:hAnsiTheme="minorHAnsi" w:cstheme="minorHAnsi"/>
                <w:b w:val="0"/>
                <w:i w:val="0"/>
              </w:rPr>
            </w:pPr>
            <w:r w:rsidRPr="00B140E3">
              <w:rPr>
                <w:rStyle w:val="Emphasis"/>
                <w:rFonts w:asciiTheme="minorHAnsi" w:hAnsiTheme="minorHAnsi" w:cstheme="minorHAnsi"/>
                <w:b w:val="0"/>
                <w:i w:val="0"/>
                <w:sz w:val="22"/>
              </w:rPr>
              <w:t>Research impact (Research InfoSource)</w:t>
            </w:r>
          </w:p>
        </w:tc>
        <w:tc>
          <w:tcPr>
            <w:tcW w:w="2835" w:type="dxa"/>
          </w:tcPr>
          <w:p w14:paraId="17B1D554" w14:textId="77777777" w:rsidR="00B140E3" w:rsidRDefault="00B140E3" w:rsidP="00624223">
            <w:pPr>
              <w:rPr>
                <w:rStyle w:val="Emphasis"/>
                <w:rFonts w:asciiTheme="minorHAnsi" w:hAnsiTheme="minorHAnsi" w:cstheme="minorHAnsi"/>
                <w:b w:val="0"/>
                <w:i w:val="0"/>
                <w:sz w:val="22"/>
              </w:rPr>
            </w:pPr>
            <w:r w:rsidRPr="00B140E3">
              <w:rPr>
                <w:rStyle w:val="Emphasis"/>
                <w:rFonts w:asciiTheme="minorHAnsi" w:hAnsiTheme="minorHAnsi" w:cstheme="minorHAnsi"/>
                <w:b w:val="0"/>
                <w:i w:val="0"/>
                <w:sz w:val="22"/>
              </w:rPr>
              <w:t>19.0</w:t>
            </w:r>
          </w:p>
          <w:p w14:paraId="1C51AC31" w14:textId="77777777" w:rsidR="00B140E3" w:rsidRPr="00B140E3" w:rsidRDefault="00B140E3" w:rsidP="00624223">
            <w:pPr>
              <w:rPr>
                <w:rStyle w:val="Emphasis"/>
                <w:rFonts w:asciiTheme="minorHAnsi" w:hAnsiTheme="minorHAnsi" w:cstheme="minorHAnsi"/>
                <w:b w:val="0"/>
                <w:i w:val="0"/>
              </w:rPr>
            </w:pPr>
          </w:p>
        </w:tc>
      </w:tr>
    </w:tbl>
    <w:p w14:paraId="17A05E29" w14:textId="77777777" w:rsidR="00F03314" w:rsidRDefault="00F03314">
      <w:pPr>
        <w:rPr>
          <w:rFonts w:asciiTheme="majorHAnsi" w:eastAsiaTheme="majorEastAsia" w:hAnsiTheme="majorHAnsi" w:cstheme="majorBidi"/>
          <w:spacing w:val="5"/>
          <w:sz w:val="56"/>
          <w:szCs w:val="52"/>
        </w:rPr>
      </w:pPr>
    </w:p>
    <w:p w14:paraId="7E490E2D" w14:textId="77777777" w:rsidR="00D3445B" w:rsidRPr="00D3445B" w:rsidRDefault="00D3445B" w:rsidP="00ED423E">
      <w:pPr>
        <w:pStyle w:val="Title"/>
        <w:numPr>
          <w:ilvl w:val="0"/>
          <w:numId w:val="6"/>
        </w:numPr>
        <w:outlineLvl w:val="0"/>
        <w:rPr>
          <w:sz w:val="56"/>
        </w:rPr>
      </w:pPr>
      <w:r>
        <w:rPr>
          <w:sz w:val="56"/>
        </w:rPr>
        <w:t>I</w:t>
      </w:r>
      <w:r w:rsidR="00F010F4">
        <w:rPr>
          <w:sz w:val="56"/>
        </w:rPr>
        <w:t>nnovation</w:t>
      </w:r>
      <w:r w:rsidR="00071FCE">
        <w:rPr>
          <w:sz w:val="56"/>
        </w:rPr>
        <w:t>, E</w:t>
      </w:r>
      <w:r w:rsidR="00F010F4">
        <w:rPr>
          <w:sz w:val="56"/>
        </w:rPr>
        <w:t>conomic</w:t>
      </w:r>
      <w:r w:rsidR="00071FCE">
        <w:rPr>
          <w:sz w:val="56"/>
        </w:rPr>
        <w:t xml:space="preserve"> D</w:t>
      </w:r>
      <w:r w:rsidR="00F010F4">
        <w:rPr>
          <w:sz w:val="56"/>
        </w:rPr>
        <w:t xml:space="preserve">evelopment and </w:t>
      </w:r>
      <w:r>
        <w:rPr>
          <w:sz w:val="56"/>
        </w:rPr>
        <w:t>C</w:t>
      </w:r>
      <w:r w:rsidR="00F010F4">
        <w:rPr>
          <w:sz w:val="56"/>
        </w:rPr>
        <w:t>ommunity Engagement</w:t>
      </w:r>
    </w:p>
    <w:p w14:paraId="53B1D8E5" w14:textId="77777777" w:rsidR="004B13D0" w:rsidRPr="00101282" w:rsidRDefault="004B13D0" w:rsidP="00F010F4">
      <w:pPr>
        <w:rPr>
          <w:i/>
        </w:rPr>
      </w:pPr>
      <w:r w:rsidRPr="00101282">
        <w:rPr>
          <w:i/>
        </w:rPr>
        <w:t>This section recognizes the unique role institutions play in contributing to their communities and to economic development, as well as to building dynamic partnerships with business, industry, community members and other colleges and universities. It focuses on regional clusters, customized training, entrepreneurial activities, jobs, community revitalization efforts, international collaborations, students, partnerships with Aboriginal Institutes and a program mix that meets needs locally, regionally and beyond.</w:t>
      </w:r>
    </w:p>
    <w:p w14:paraId="68DAAF77" w14:textId="77777777" w:rsidR="00D3445B" w:rsidRPr="00F05816" w:rsidRDefault="00D3445B" w:rsidP="00ED423E">
      <w:pPr>
        <w:pStyle w:val="Heading1"/>
      </w:pPr>
      <w:r>
        <w:t xml:space="preserve">Institutional Approach to </w:t>
      </w:r>
      <w:r w:rsidR="00FA591A">
        <w:t>Innovation, Economic Development and Community Engagement</w:t>
      </w:r>
    </w:p>
    <w:p w14:paraId="288A661D" w14:textId="77777777" w:rsidR="001E5C95" w:rsidRPr="001E5C95" w:rsidRDefault="001E5C95" w:rsidP="001E5C95">
      <w:pPr>
        <w:spacing w:after="0"/>
        <w:ind w:right="-20"/>
      </w:pPr>
      <w:r w:rsidRPr="001E5C95">
        <w:t xml:space="preserve">Trent University continues to play a key role in the development of the communities in which it resides. Its role is especially prominent in Peterborough, where it is recognized as a pillar of the community. In Durham GTA it plays a growing role, providing education in a way that is a key catalyst for community development (economic, social and cultural). </w:t>
      </w:r>
      <w:r w:rsidRPr="001E5C95">
        <w:rPr>
          <w:rFonts w:eastAsia="Calibri" w:cs="Calibri"/>
          <w:bCs/>
        </w:rPr>
        <w:t>Recent economic impact studies have concluded that Trent’s economic impact in Durham is $47 million annually, and almost $500 million annually in Peterborough.</w:t>
      </w:r>
      <w:r w:rsidRPr="001E5C95">
        <w:rPr>
          <w:rFonts w:eastAsia="Calibri" w:cs="Calibri"/>
          <w:bCs/>
          <w:vertAlign w:val="superscript"/>
        </w:rPr>
        <w:footnoteReference w:id="6"/>
      </w:r>
    </w:p>
    <w:p w14:paraId="607C2001" w14:textId="77777777" w:rsidR="001E5C95" w:rsidRPr="001E5C95" w:rsidRDefault="001E5C95" w:rsidP="001E5C95">
      <w:pPr>
        <w:spacing w:after="0"/>
        <w:ind w:right="-20"/>
      </w:pPr>
    </w:p>
    <w:p w14:paraId="14E4AC6B" w14:textId="4CC0B201" w:rsidR="001E5C95" w:rsidRPr="001E5C95" w:rsidRDefault="001E5C95" w:rsidP="001E5C95">
      <w:pPr>
        <w:spacing w:after="0"/>
        <w:rPr>
          <w:rFonts w:eastAsia="Calibri" w:cs="Calibri"/>
        </w:rPr>
      </w:pPr>
      <w:r w:rsidRPr="001E5C95">
        <w:t>Perhaps the greatest contribution Trent makes to both Durham GTA region and Peterborough area is its students — from their study and work, their professional placements and from the many who choose to remain in the community after they graduate. But Trent graduates have a positive impact on the economy ac</w:t>
      </w:r>
      <w:r w:rsidR="00D11D06">
        <w:t>r</w:t>
      </w:r>
      <w:r w:rsidRPr="001E5C95">
        <w:t xml:space="preserve">oss Ontario. </w:t>
      </w:r>
      <w:r w:rsidRPr="001E5C95">
        <w:rPr>
          <w:rFonts w:eastAsia="Calibri" w:cs="Calibri"/>
        </w:rPr>
        <w:t xml:space="preserve">Six months after graduation </w:t>
      </w:r>
      <w:r w:rsidRPr="001E5C95">
        <w:rPr>
          <w:rFonts w:eastAsia="Calibri" w:cs="Calibri"/>
          <w:spacing w:val="1"/>
        </w:rPr>
        <w:t>87</w:t>
      </w:r>
      <w:r w:rsidRPr="001E5C95">
        <w:rPr>
          <w:rFonts w:eastAsia="Calibri" w:cs="Calibri"/>
        </w:rPr>
        <w:t xml:space="preserve"> per cent</w:t>
      </w:r>
      <w:r w:rsidRPr="001E5C95">
        <w:rPr>
          <w:rFonts w:eastAsia="Calibri" w:cs="Calibri"/>
          <w:spacing w:val="-4"/>
        </w:rPr>
        <w:t xml:space="preserve"> </w:t>
      </w:r>
      <w:r w:rsidRPr="001E5C95">
        <w:rPr>
          <w:rFonts w:eastAsia="Calibri" w:cs="Calibri"/>
          <w:spacing w:val="1"/>
        </w:rPr>
        <w:t>o</w:t>
      </w:r>
      <w:r w:rsidRPr="001E5C95">
        <w:rPr>
          <w:rFonts w:eastAsia="Calibri" w:cs="Calibri"/>
        </w:rPr>
        <w:t>f our gra</w:t>
      </w:r>
      <w:r w:rsidRPr="001E5C95">
        <w:rPr>
          <w:rFonts w:eastAsia="Calibri" w:cs="Calibri"/>
          <w:spacing w:val="-1"/>
        </w:rPr>
        <w:t>d</w:t>
      </w:r>
      <w:r w:rsidRPr="001E5C95">
        <w:rPr>
          <w:rFonts w:eastAsia="Calibri" w:cs="Calibri"/>
          <w:spacing w:val="1"/>
        </w:rPr>
        <w:t>u</w:t>
      </w:r>
      <w:r w:rsidRPr="001E5C95">
        <w:rPr>
          <w:rFonts w:eastAsia="Calibri" w:cs="Calibri"/>
          <w:spacing w:val="-2"/>
        </w:rPr>
        <w:t>a</w:t>
      </w:r>
      <w:r w:rsidRPr="001E5C95">
        <w:rPr>
          <w:rFonts w:eastAsia="Calibri" w:cs="Calibri"/>
          <w:spacing w:val="1"/>
        </w:rPr>
        <w:t>t</w:t>
      </w:r>
      <w:r w:rsidRPr="001E5C95">
        <w:rPr>
          <w:rFonts w:eastAsia="Calibri" w:cs="Calibri"/>
          <w:spacing w:val="-2"/>
        </w:rPr>
        <w:t>e</w:t>
      </w:r>
      <w:r w:rsidRPr="001E5C95">
        <w:rPr>
          <w:rFonts w:eastAsia="Calibri" w:cs="Calibri"/>
        </w:rPr>
        <w:t>s</w:t>
      </w:r>
      <w:r w:rsidRPr="001E5C95">
        <w:rPr>
          <w:rFonts w:eastAsia="Calibri" w:cs="Calibri"/>
          <w:spacing w:val="-2"/>
        </w:rPr>
        <w:t xml:space="preserve"> </w:t>
      </w:r>
      <w:r w:rsidRPr="001E5C95">
        <w:rPr>
          <w:rFonts w:eastAsia="Calibri" w:cs="Calibri"/>
        </w:rPr>
        <w:t xml:space="preserve">are </w:t>
      </w:r>
      <w:r w:rsidRPr="001E5C95">
        <w:rPr>
          <w:rFonts w:eastAsia="Calibri" w:cs="Calibri"/>
          <w:spacing w:val="1"/>
        </w:rPr>
        <w:t>e</w:t>
      </w:r>
      <w:r w:rsidRPr="001E5C95">
        <w:rPr>
          <w:rFonts w:eastAsia="Calibri" w:cs="Calibri"/>
        </w:rPr>
        <w:t>m</w:t>
      </w:r>
      <w:r w:rsidRPr="001E5C95">
        <w:rPr>
          <w:rFonts w:eastAsia="Calibri" w:cs="Calibri"/>
          <w:spacing w:val="1"/>
        </w:rPr>
        <w:t>p</w:t>
      </w:r>
      <w:r w:rsidRPr="001E5C95">
        <w:rPr>
          <w:rFonts w:eastAsia="Calibri" w:cs="Calibri"/>
        </w:rPr>
        <w:t>l</w:t>
      </w:r>
      <w:r w:rsidRPr="001E5C95">
        <w:rPr>
          <w:rFonts w:eastAsia="Calibri" w:cs="Calibri"/>
          <w:spacing w:val="1"/>
        </w:rPr>
        <w:t>o</w:t>
      </w:r>
      <w:r w:rsidRPr="001E5C95">
        <w:rPr>
          <w:rFonts w:eastAsia="Calibri" w:cs="Calibri"/>
          <w:spacing w:val="-1"/>
        </w:rPr>
        <w:t>y</w:t>
      </w:r>
      <w:r w:rsidRPr="001E5C95">
        <w:rPr>
          <w:rFonts w:eastAsia="Calibri" w:cs="Calibri"/>
          <w:spacing w:val="-2"/>
        </w:rPr>
        <w:t>e</w:t>
      </w:r>
      <w:r w:rsidRPr="001E5C95">
        <w:rPr>
          <w:rFonts w:eastAsia="Calibri" w:cs="Calibri"/>
        </w:rPr>
        <w:t xml:space="preserve">d. </w:t>
      </w:r>
      <w:r w:rsidRPr="001E5C95">
        <w:t>In 2015-16, the employment rate for Trent graduates two years after graduation (95.41 per cent) was the second-highest of all universities in Ontario.</w:t>
      </w:r>
      <w:r w:rsidRPr="001E5C95">
        <w:rPr>
          <w:rFonts w:eastAsia="Calibri" w:cs="Calibri"/>
        </w:rPr>
        <w:t xml:space="preserve"> </w:t>
      </w:r>
    </w:p>
    <w:p w14:paraId="23B7477C" w14:textId="77777777" w:rsidR="001E5C95" w:rsidRPr="001E5C95" w:rsidRDefault="001E5C95" w:rsidP="001E5C95">
      <w:pPr>
        <w:spacing w:after="0"/>
        <w:ind w:right="-20"/>
      </w:pPr>
    </w:p>
    <w:p w14:paraId="493E25E1" w14:textId="77777777" w:rsidR="001E5C95" w:rsidRPr="001E5C95" w:rsidRDefault="001E5C95" w:rsidP="001E5C95">
      <w:pPr>
        <w:spacing w:after="0"/>
      </w:pPr>
      <w:r w:rsidRPr="001E5C95">
        <w:t>Trent Durham GTA is an active member in the Durham community and participates as a member and sponsor in local Chambers of Commerce, including Oshawa, Whitby, Ajax-Pickering and Clarington. Campus staff are involved in committees and working groups, including: the Durham Regional Council Composition Review Committee; the Whitby Chamber Education and Community Committee; the City of Oshawa Cultural Leadership Council; the Durham Chinese Canadian Centre; and the City of Oshawa Town and Gown committee. Student placements in the local community include placements in Social Work, Business, Psychology and Child and Youth Studies. Campus programs provide retraining opportunities for Durham residents looking for new employment in an evolving economy.</w:t>
      </w:r>
    </w:p>
    <w:p w14:paraId="70400DAA" w14:textId="77777777" w:rsidR="001E5C95" w:rsidRPr="001E5C95" w:rsidRDefault="001E5C95" w:rsidP="001E5C95">
      <w:pPr>
        <w:spacing w:after="0"/>
      </w:pPr>
    </w:p>
    <w:p w14:paraId="6459264C" w14:textId="77777777" w:rsidR="001E5C95" w:rsidRPr="001E5C95" w:rsidRDefault="001E5C95" w:rsidP="001E5C95">
      <w:r w:rsidRPr="001E5C95">
        <w:t>In Peterborough, Trent is deeply embedded in the life of the community. Last year it hosted numerous community events, including 59 sporting events, 36 Indigenous events and 35 arts events. Students, staff and faculty conducted 241 community research projects, volunteered, hosted conferences and lectures, held summer camps and provided continuing education to the community. Trent is the third-largest employer in  Peterborough, with 1,163 employees.</w:t>
      </w:r>
      <w:r w:rsidRPr="001E5C95">
        <w:rPr>
          <w:vertAlign w:val="superscript"/>
        </w:rPr>
        <w:footnoteReference w:id="7"/>
      </w:r>
    </w:p>
    <w:p w14:paraId="4B1F0F0B" w14:textId="77777777" w:rsidR="001E5C95" w:rsidRPr="001E5C95" w:rsidRDefault="001E5C95" w:rsidP="001E5C95">
      <w:r w:rsidRPr="001E5C95">
        <w:t>Currently, Trent Peterborough is focused on the development of its Endowment Lands. The Board of Governors has affirmed this priority in a recent strategic review. Developments will include recreational initiatives that will serve the broader community as well as Trent students, staff and faculty; a Trent Research and Innovation Park; and possible residential developments, which could include the building of a sustainable village as a leading-edge, sustainable community developed in close proximity to Trent’s core campus.</w:t>
      </w:r>
    </w:p>
    <w:p w14:paraId="33A94BEB" w14:textId="37E03B91" w:rsidR="00E206D9" w:rsidRPr="00101282" w:rsidRDefault="001E5C95" w:rsidP="00101282">
      <w:pPr>
        <w:rPr>
          <w:i/>
          <w:color w:val="00B050"/>
        </w:rPr>
      </w:pPr>
      <w:r w:rsidRPr="001E5C95">
        <w:t xml:space="preserve">Currently Trent’s major innovation and economic development project is its Trent Research and Innovation Park, an 85-acre development on the East Bank of the Peterborough campus that would focus on the development of clean tech and green industry. It would enhance and expand Trent’s leading-edge research agenda and provide new opportunities for students and faculty. It would also </w:t>
      </w:r>
      <w:r w:rsidRPr="001E5C95">
        <w:rPr>
          <w:rFonts w:ascii="Calibri" w:hAnsi="Calibri" w:cs="Calibri"/>
        </w:rPr>
        <w:t>transform the region’s economy, support startups and attract new businesses, providing jobs for future generations of students and residents. Key partners in the project include local businesses, Fleming College, and the City of Peterborough. The City of Peterborough is contributing approximately $10 million to provide the ba</w:t>
      </w:r>
      <w:r w:rsidR="00101282">
        <w:rPr>
          <w:rFonts w:ascii="Calibri" w:hAnsi="Calibri" w:cs="Calibri"/>
        </w:rPr>
        <w:t>sic infrastructure for the park.</w:t>
      </w:r>
    </w:p>
    <w:p w14:paraId="00D25696" w14:textId="77777777" w:rsidR="00E206D9" w:rsidRPr="006B065B" w:rsidRDefault="00E206D9" w:rsidP="00ED423E">
      <w:pPr>
        <w:pStyle w:val="Heading1"/>
      </w:pPr>
      <w:r>
        <w:t xml:space="preserve">Examples of Institutional Initiatives </w:t>
      </w:r>
    </w:p>
    <w:p w14:paraId="205059CD" w14:textId="77777777" w:rsidR="001E5C95" w:rsidRPr="001E5C95" w:rsidRDefault="001E5C95" w:rsidP="001E5C95">
      <w:pPr>
        <w:rPr>
          <w:b/>
        </w:rPr>
      </w:pPr>
      <w:r w:rsidRPr="001E5C95">
        <w:rPr>
          <w:b/>
        </w:rPr>
        <w:t xml:space="preserve">Co-operative Municipal Alliances </w:t>
      </w:r>
    </w:p>
    <w:p w14:paraId="4591CA21" w14:textId="77777777" w:rsidR="001E5C95" w:rsidRPr="001E5C95" w:rsidRDefault="001E5C95" w:rsidP="001E5C95">
      <w:r w:rsidRPr="001E5C95">
        <w:t>Trent has partnered with the City of Peterborough on a number of progressive infrastructure and community service projects. Currently, a service extension/road improvements agreement will create substantial joint benefits on the Trent campus in the form of recreational facilities, playing fields, a twin pad recreational complex. It also includes the development of subdivided land for an industrial park tenanted by environmentally progressive firms selected on criteria established by Trent in conjunction with community leaders. Additional alliances to achieve mutual strategic objectives are underway in Durham and its area municipalities.</w:t>
      </w:r>
    </w:p>
    <w:p w14:paraId="0504279D" w14:textId="77777777" w:rsidR="001E5C95" w:rsidRPr="001E5C95" w:rsidRDefault="001E5C95" w:rsidP="001E5C95">
      <w:pPr>
        <w:rPr>
          <w:b/>
        </w:rPr>
      </w:pPr>
      <w:r w:rsidRPr="001E5C95">
        <w:rPr>
          <w:rFonts w:hint="eastAsia"/>
          <w:b/>
        </w:rPr>
        <w:t xml:space="preserve">Community First: Impacts of Community Engagement </w:t>
      </w:r>
    </w:p>
    <w:p w14:paraId="0B705A6D" w14:textId="77777777" w:rsidR="001E5C95" w:rsidRPr="001E5C95" w:rsidRDefault="001E5C95" w:rsidP="001E5C95">
      <w:r w:rsidRPr="001E5C95">
        <w:rPr>
          <w:rFonts w:hint="eastAsia"/>
        </w:rPr>
        <w:t>The Trent Community Research Centre, faculty and students have been involved in a seven-year SSHRC Partnership Grant (2012</w:t>
      </w:r>
      <w:r w:rsidRPr="001E5C95">
        <w:t>-</w:t>
      </w:r>
      <w:r w:rsidRPr="001E5C95">
        <w:rPr>
          <w:rFonts w:hint="eastAsia"/>
        </w:rPr>
        <w:t xml:space="preserve">2019) that strengthened the capacity of community partners (GreenUP, Stewart St. residents, Abbey Gardens and Haliburton Highlands Land Trust) to reach specific environmental sustainability program goals and influence city planning processes. </w:t>
      </w:r>
      <w:r w:rsidRPr="001E5C95">
        <w:t>The grant funding has successfully leveraged other funding. In years five to seven, the focus will be developing student pathways for community-based research from high school through to doctoral study.</w:t>
      </w:r>
    </w:p>
    <w:p w14:paraId="7049B766" w14:textId="77777777" w:rsidR="001E5C95" w:rsidRPr="001E5C95" w:rsidRDefault="001E5C95" w:rsidP="001E5C95">
      <w:pPr>
        <w:spacing w:after="0"/>
        <w:ind w:right="-20"/>
        <w:rPr>
          <w:b/>
        </w:rPr>
      </w:pPr>
      <w:r w:rsidRPr="001E5C95">
        <w:rPr>
          <w:b/>
        </w:rPr>
        <w:t xml:space="preserve">Chanie Wenjack School for Indigenous Studies </w:t>
      </w:r>
    </w:p>
    <w:p w14:paraId="570DBFE9" w14:textId="77777777" w:rsidR="001E5C95" w:rsidRPr="001E5C95" w:rsidRDefault="001E5C95" w:rsidP="001E5C95">
      <w:pPr>
        <w:spacing w:after="0"/>
        <w:ind w:right="-20"/>
      </w:pPr>
      <w:r w:rsidRPr="001E5C95">
        <w:t>The creation and support of the Chanie Wenjack School for Indigenous Studies will strengthen Trent’s ability to work with local Indigenous communities; to respond to community education, research and training needs; and develop and offer short-term programs and certificate programming.</w:t>
      </w:r>
    </w:p>
    <w:p w14:paraId="45883139" w14:textId="77777777" w:rsidR="001E5C95" w:rsidRPr="001E5C95" w:rsidRDefault="001E5C95" w:rsidP="001E5C95">
      <w:pPr>
        <w:spacing w:after="0"/>
        <w:ind w:right="-20"/>
      </w:pPr>
    </w:p>
    <w:p w14:paraId="14D540E9" w14:textId="77777777" w:rsidR="001E5C95" w:rsidRPr="001E5C95" w:rsidRDefault="001E5C95" w:rsidP="001E5C95">
      <w:pPr>
        <w:spacing w:after="0"/>
        <w:ind w:right="-20"/>
        <w:rPr>
          <w:rFonts w:eastAsia="Calibri" w:cs="Calibri"/>
          <w:b/>
        </w:rPr>
      </w:pPr>
      <w:r w:rsidRPr="001E5C95">
        <w:rPr>
          <w:rFonts w:eastAsia="Calibri" w:cs="Calibri"/>
          <w:b/>
        </w:rPr>
        <w:t>Trent Aboriginal Cultural Knowledge and Science (TRACKS)</w:t>
      </w:r>
    </w:p>
    <w:p w14:paraId="5427DF05" w14:textId="77777777" w:rsidR="001E5C95" w:rsidRPr="001E5C95" w:rsidRDefault="001E5C95" w:rsidP="001E5C95">
      <w:pPr>
        <w:spacing w:after="0"/>
        <w:ind w:right="-20"/>
        <w:rPr>
          <w:rFonts w:eastAsia="Calibri" w:cs="Calibri"/>
          <w:i/>
        </w:rPr>
      </w:pPr>
    </w:p>
    <w:p w14:paraId="18A39B62" w14:textId="77777777" w:rsidR="001E5C95" w:rsidRPr="001E5C95" w:rsidRDefault="001E5C95" w:rsidP="001E5C95">
      <w:pPr>
        <w:spacing w:after="0"/>
        <w:ind w:right="-20"/>
        <w:rPr>
          <w:rFonts w:eastAsia="Calibri" w:cs="Calibri"/>
        </w:rPr>
      </w:pPr>
      <w:r w:rsidRPr="001E5C95">
        <w:rPr>
          <w:rFonts w:eastAsia="Calibri" w:cs="Calibri"/>
        </w:rPr>
        <w:t>TRACKS</w:t>
      </w:r>
      <w:r w:rsidRPr="001E5C95">
        <w:rPr>
          <w:rFonts w:eastAsia="Calibri" w:cs="Calibri"/>
          <w:i/>
        </w:rPr>
        <w:t xml:space="preserve"> </w:t>
      </w:r>
      <w:r w:rsidRPr="001E5C95">
        <w:rPr>
          <w:rFonts w:eastAsia="Calibri" w:cs="Calibri"/>
        </w:rPr>
        <w:t>is a youth outreach program run through Trent University in association with the Indigenous Environmental Studies Program and the Kawartha World Issues Centre. TRACKS offers classroom and after-school workshops, outreach programming and summer camp experiences for kids ages 8-15, with a focus on blending Indigenous cultural knowledge with math and science curriculum.</w:t>
      </w:r>
    </w:p>
    <w:p w14:paraId="578CCCE7" w14:textId="77777777" w:rsidR="001E5C95" w:rsidRPr="001E5C95" w:rsidRDefault="001E5C95" w:rsidP="001E5C95">
      <w:pPr>
        <w:spacing w:after="0"/>
        <w:ind w:right="-20"/>
        <w:rPr>
          <w:rFonts w:eastAsia="Calibri" w:cs="Calibri"/>
          <w:i/>
        </w:rPr>
      </w:pPr>
    </w:p>
    <w:p w14:paraId="4F9D8CA3" w14:textId="77777777" w:rsidR="001E5C95" w:rsidRPr="001E5C95" w:rsidRDefault="001E5C95" w:rsidP="001E5C95">
      <w:pPr>
        <w:spacing w:after="0"/>
        <w:ind w:right="-20"/>
        <w:rPr>
          <w:b/>
        </w:rPr>
      </w:pPr>
      <w:r w:rsidRPr="001E5C95">
        <w:rPr>
          <w:b/>
        </w:rPr>
        <w:t>Business Partnerships</w:t>
      </w:r>
    </w:p>
    <w:p w14:paraId="6A29376F" w14:textId="77777777" w:rsidR="001E5C95" w:rsidRPr="001E5C95" w:rsidRDefault="001E5C95" w:rsidP="001E5C95">
      <w:pPr>
        <w:spacing w:after="0"/>
        <w:ind w:right="-20"/>
      </w:pPr>
    </w:p>
    <w:p w14:paraId="4A407E95" w14:textId="77777777" w:rsidR="001E5C95" w:rsidRPr="001E5C95" w:rsidRDefault="001E5C95" w:rsidP="001E5C95">
      <w:pPr>
        <w:spacing w:after="0"/>
        <w:ind w:right="-20"/>
        <w:rPr>
          <w:rFonts w:eastAsia="Calibri" w:cs="Calibri"/>
          <w:spacing w:val="1"/>
        </w:rPr>
      </w:pPr>
      <w:r w:rsidRPr="001E5C95">
        <w:rPr>
          <w:rFonts w:eastAsia="Calibri" w:cs="Calibri"/>
          <w:spacing w:val="1"/>
        </w:rPr>
        <w:t>Trent’s partnerships with multinational, national and local companies include research partnerships in biomaterials, water sciences, sustainable agriculture and genetics, which have contributed to job creation and economic development in Ontario. The dollar value of triple helix partnership (company/government/philanthropic) research investments per faculty researcher is high at Trent in comparison with other universities.</w:t>
      </w:r>
      <w:r w:rsidRPr="001E5C95">
        <w:rPr>
          <w:rFonts w:eastAsia="Calibri" w:cs="Calibri"/>
          <w:spacing w:val="1"/>
          <w:vertAlign w:val="superscript"/>
        </w:rPr>
        <w:footnoteReference w:id="8"/>
      </w:r>
    </w:p>
    <w:p w14:paraId="2744EB21" w14:textId="77777777" w:rsidR="001E5C95" w:rsidRPr="001E5C95" w:rsidRDefault="001E5C95" w:rsidP="001E5C95">
      <w:pPr>
        <w:spacing w:after="0"/>
        <w:ind w:right="-20"/>
        <w:rPr>
          <w:rFonts w:eastAsia="Calibri" w:cs="Calibri"/>
          <w:spacing w:val="1"/>
        </w:rPr>
      </w:pPr>
    </w:p>
    <w:p w14:paraId="19FD1207" w14:textId="77777777" w:rsidR="001E5C95" w:rsidRPr="001E5C95" w:rsidRDefault="001E5C95" w:rsidP="001E5C95">
      <w:pPr>
        <w:spacing w:after="0"/>
        <w:rPr>
          <w:b/>
          <w:iCs/>
          <w:spacing w:val="1"/>
        </w:rPr>
      </w:pPr>
      <w:r w:rsidRPr="001E5C95">
        <w:rPr>
          <w:b/>
          <w:iCs/>
          <w:spacing w:val="1"/>
        </w:rPr>
        <w:t>The Peterborough Region Innovation and Entrepreneurship Ecosystem</w:t>
      </w:r>
    </w:p>
    <w:p w14:paraId="1CA9637F" w14:textId="77777777" w:rsidR="001E5C95" w:rsidRPr="001E5C95" w:rsidRDefault="001E5C95" w:rsidP="001E5C95">
      <w:pPr>
        <w:spacing w:after="0"/>
        <w:rPr>
          <w:i/>
          <w:iCs/>
          <w:spacing w:val="1"/>
        </w:rPr>
      </w:pPr>
      <w:r w:rsidRPr="001E5C95">
        <w:rPr>
          <w:i/>
          <w:iCs/>
          <w:spacing w:val="1"/>
        </w:rPr>
        <w:t xml:space="preserve"> </w:t>
      </w:r>
    </w:p>
    <w:p w14:paraId="295AC785" w14:textId="77777777" w:rsidR="001E5C95" w:rsidRPr="001E5C95" w:rsidRDefault="001E5C95" w:rsidP="001E5C95">
      <w:pPr>
        <w:spacing w:after="0"/>
        <w:rPr>
          <w:spacing w:val="1"/>
        </w:rPr>
      </w:pPr>
      <w:r w:rsidRPr="001E5C95">
        <w:rPr>
          <w:spacing w:val="1"/>
        </w:rPr>
        <w:t>Trent has a strong core partnership with the Greater Peterborough Innovation Cluster (GPIC), Peterborough Economic Development, the City of Peterborough and Fleming College. Together, they are developing a regional Clean Technology and Ag-Technology cluster. Part of the cluster is Start-Up Peterborough, which Trent helped establish. Trent’s youth entrepreneurship program, funded in part by Ontario Centres of Excellence under the FastStart umbrella and incubator (run by GPIC), has supported the startup of over 20 enterprises established by graduating Trent students and alumni</w:t>
      </w:r>
      <w:r w:rsidRPr="001E5C95">
        <w:rPr>
          <w:i/>
          <w:iCs/>
          <w:spacing w:val="1"/>
        </w:rPr>
        <w:t>. </w:t>
      </w:r>
      <w:r w:rsidRPr="001E5C95">
        <w:rPr>
          <w:spacing w:val="1"/>
        </w:rPr>
        <w:t>FastStart</w:t>
      </w:r>
      <w:r w:rsidRPr="001E5C95">
        <w:rPr>
          <w:i/>
          <w:iCs/>
          <w:spacing w:val="1"/>
        </w:rPr>
        <w:t xml:space="preserve"> </w:t>
      </w:r>
      <w:r w:rsidRPr="001E5C95">
        <w:rPr>
          <w:spacing w:val="1"/>
        </w:rPr>
        <w:t>at Trent</w:t>
      </w:r>
      <w:r w:rsidRPr="001E5C95">
        <w:rPr>
          <w:i/>
          <w:iCs/>
          <w:spacing w:val="1"/>
        </w:rPr>
        <w:t xml:space="preserve"> </w:t>
      </w:r>
      <w:r w:rsidRPr="001E5C95">
        <w:rPr>
          <w:spacing w:val="1"/>
        </w:rPr>
        <w:t xml:space="preserve">has two significant partnerships to drive student engagement in entrepreneurial activities. One is with the Trent Youth Entrepreneurship Society (a Trent student club). The other is with the local Bear’s Lair organization (modeled after Dragon’s Den) to run a Cub’s Den competition for young entrepreneurs. The winners are guaranteed entry to the Bear’s Lair short list of finalists. A new Social Innovation and Entrepreneurship Centre is planned to open in the Bata Research and Innovation Cluster in June 2018.  </w:t>
      </w:r>
    </w:p>
    <w:p w14:paraId="1AA4FEA1" w14:textId="77777777" w:rsidR="001E5C95" w:rsidRPr="001E5C95" w:rsidRDefault="001E5C95" w:rsidP="001E5C95">
      <w:pPr>
        <w:spacing w:after="0"/>
        <w:ind w:right="-20"/>
        <w:rPr>
          <w:rFonts w:eastAsia="Calibri" w:cs="Calibri"/>
          <w:spacing w:val="1"/>
        </w:rPr>
      </w:pPr>
    </w:p>
    <w:p w14:paraId="46C91AA3" w14:textId="77777777" w:rsidR="001E5C95" w:rsidRPr="001E5C95" w:rsidRDefault="001E5C95" w:rsidP="001E5C95">
      <w:pPr>
        <w:spacing w:after="0"/>
        <w:ind w:right="-20"/>
        <w:rPr>
          <w:rFonts w:eastAsia="Calibri" w:cs="Calibri"/>
          <w:b/>
          <w:spacing w:val="1"/>
        </w:rPr>
      </w:pPr>
      <w:r w:rsidRPr="001E5C95">
        <w:rPr>
          <w:rFonts w:eastAsia="Calibri" w:cs="Calibri"/>
          <w:b/>
          <w:spacing w:val="1"/>
        </w:rPr>
        <w:t>Noblegen</w:t>
      </w:r>
    </w:p>
    <w:p w14:paraId="2C0FC93D" w14:textId="77777777" w:rsidR="001E5C95" w:rsidRPr="001E5C95" w:rsidRDefault="001E5C95" w:rsidP="001E5C95">
      <w:pPr>
        <w:spacing w:after="0"/>
        <w:ind w:right="-20"/>
        <w:rPr>
          <w:rFonts w:eastAsia="Calibri" w:cs="Calibri"/>
          <w:i/>
          <w:spacing w:val="1"/>
        </w:rPr>
      </w:pPr>
    </w:p>
    <w:p w14:paraId="74A803D2" w14:textId="77777777" w:rsidR="001E5C95" w:rsidRPr="001E5C95" w:rsidRDefault="001E5C95" w:rsidP="001E5C95">
      <w:pPr>
        <w:spacing w:after="0"/>
        <w:ind w:right="-20"/>
        <w:rPr>
          <w:rFonts w:eastAsia="Calibri" w:cs="Calibri"/>
          <w:spacing w:val="1"/>
        </w:rPr>
      </w:pPr>
      <w:r w:rsidRPr="001E5C95">
        <w:rPr>
          <w:rFonts w:eastAsia="Calibri" w:cs="Calibri"/>
          <w:spacing w:val="1"/>
        </w:rPr>
        <w:t>One of Trent’s key industrial partners is Noblegen, a young company whose genesis is from research done at Trent and the entrepreneurship of its founding partners. Noblegen will be the inaugural tenant in the research park. In the last two years, the company has grown from three to 47 employees, many of them Trent graduates. It has the potential to become a major employer in the region.</w:t>
      </w:r>
    </w:p>
    <w:p w14:paraId="6CA7873F" w14:textId="77777777" w:rsidR="001E5C95" w:rsidRPr="001E5C95" w:rsidRDefault="001E5C95" w:rsidP="001E5C95">
      <w:pPr>
        <w:spacing w:after="0"/>
        <w:ind w:right="-20"/>
        <w:rPr>
          <w:rFonts w:eastAsia="Calibri" w:cs="Calibri"/>
        </w:rPr>
      </w:pPr>
    </w:p>
    <w:p w14:paraId="71FC74BE" w14:textId="77777777" w:rsidR="001E5C95" w:rsidRPr="001E5C95" w:rsidRDefault="001E5C95" w:rsidP="001E5C95">
      <w:pPr>
        <w:ind w:left="720"/>
        <w:contextualSpacing/>
        <w:rPr>
          <w:rFonts w:eastAsia="Calibri" w:cs="Calibri"/>
        </w:rPr>
      </w:pPr>
    </w:p>
    <w:p w14:paraId="7D179CC6" w14:textId="77777777" w:rsidR="001E5C95" w:rsidRPr="001E5C95" w:rsidRDefault="001E5C95" w:rsidP="001E5C95">
      <w:pPr>
        <w:spacing w:after="0"/>
        <w:ind w:right="-20"/>
        <w:rPr>
          <w:b/>
        </w:rPr>
      </w:pPr>
      <w:r w:rsidRPr="001E5C95">
        <w:rPr>
          <w:b/>
        </w:rPr>
        <w:t xml:space="preserve">Durham GTA Community Advisory Committee </w:t>
      </w:r>
    </w:p>
    <w:p w14:paraId="0DE64C99" w14:textId="77777777" w:rsidR="001E5C95" w:rsidRPr="001E5C95" w:rsidRDefault="001E5C95" w:rsidP="001E5C95">
      <w:pPr>
        <w:spacing w:after="0"/>
        <w:ind w:right="-20"/>
      </w:pPr>
    </w:p>
    <w:p w14:paraId="57153603" w14:textId="77777777" w:rsidR="001E5C95" w:rsidRPr="001E5C95" w:rsidRDefault="001E5C95" w:rsidP="001E5C95">
      <w:pPr>
        <w:spacing w:after="0"/>
        <w:ind w:right="-20"/>
        <w:rPr>
          <w:rFonts w:eastAsia="Calibri" w:cs="Calibri"/>
        </w:rPr>
      </w:pPr>
      <w:r w:rsidRPr="001E5C95">
        <w:t xml:space="preserve">The Community Advisory Committee provides advice and support to Trent in enabling its vision to be an engine for cultural, recreational and economic development in the Durham Region. The Committee also provides feedback and advice on the ways in which Trent can further contribute to the community and to raise its profile. Membership includes leaders from across sectors and geographies within the Durham Region.  </w:t>
      </w:r>
    </w:p>
    <w:p w14:paraId="63C60647" w14:textId="77777777" w:rsidR="001E5C95" w:rsidRPr="001E5C95" w:rsidRDefault="001E5C95" w:rsidP="001E5C95">
      <w:pPr>
        <w:spacing w:after="0"/>
        <w:ind w:right="-20"/>
        <w:rPr>
          <w:rFonts w:eastAsia="Calibri" w:cs="Calibri"/>
          <w:b/>
          <w:spacing w:val="1"/>
        </w:rPr>
      </w:pPr>
    </w:p>
    <w:p w14:paraId="3EEBAEEE" w14:textId="77777777" w:rsidR="001E5C95" w:rsidRPr="001E5C95" w:rsidRDefault="001E5C95" w:rsidP="001E5C95">
      <w:pPr>
        <w:spacing w:after="0"/>
        <w:ind w:left="360" w:right="-20"/>
        <w:contextualSpacing/>
        <w:rPr>
          <w:rFonts w:eastAsia="Calibri" w:cs="Calibri"/>
        </w:rPr>
      </w:pPr>
    </w:p>
    <w:p w14:paraId="72A2B1D5" w14:textId="77777777" w:rsidR="001E5C95" w:rsidRPr="001E5C95" w:rsidRDefault="001E5C95" w:rsidP="001E5C95">
      <w:pPr>
        <w:spacing w:after="0"/>
        <w:ind w:right="-20"/>
        <w:rPr>
          <w:rFonts w:eastAsia="Calibri" w:cs="Calibri"/>
          <w:b/>
        </w:rPr>
      </w:pPr>
      <w:r w:rsidRPr="001E5C95">
        <w:rPr>
          <w:rFonts w:eastAsia="Calibri" w:cs="Calibri"/>
          <w:b/>
        </w:rPr>
        <w:t>Unemployed Youth</w:t>
      </w:r>
    </w:p>
    <w:p w14:paraId="668D1C42" w14:textId="77777777" w:rsidR="001E5C95" w:rsidRPr="001E5C95" w:rsidRDefault="001E5C95" w:rsidP="001E5C95">
      <w:pPr>
        <w:spacing w:after="0"/>
        <w:ind w:right="-20"/>
        <w:rPr>
          <w:rFonts w:eastAsia="Calibri" w:cs="Calibri"/>
          <w:i/>
        </w:rPr>
      </w:pPr>
    </w:p>
    <w:p w14:paraId="4E81EEC3" w14:textId="77777777" w:rsidR="001E5C95" w:rsidRPr="001E5C95" w:rsidRDefault="001E5C95" w:rsidP="001E5C95">
      <w:pPr>
        <w:spacing w:after="0"/>
        <w:ind w:right="-20"/>
        <w:rPr>
          <w:rFonts w:eastAsia="Calibri" w:cs="Calibri"/>
        </w:rPr>
      </w:pPr>
      <w:r w:rsidRPr="001E5C95">
        <w:rPr>
          <w:rFonts w:eastAsia="Calibri" w:cs="Calibri"/>
        </w:rPr>
        <w:t>In Durham GTA, a Trent Sociology professor is working with a social enterprise (Community ILab) to address the community’s youth unemployment problems by developing entrepreneurship opportunities for youth who are unemployed or underemployed.</w:t>
      </w:r>
    </w:p>
    <w:p w14:paraId="69B1800F" w14:textId="77777777" w:rsidR="001E5C95" w:rsidRPr="001E5C95" w:rsidRDefault="001E5C95" w:rsidP="00B1087A"/>
    <w:p w14:paraId="598ABBC1" w14:textId="77777777" w:rsidR="00AC4902" w:rsidRDefault="00FA73E3" w:rsidP="00B1087A">
      <w:pPr>
        <w:rPr>
          <w:i/>
        </w:rPr>
      </w:pPr>
      <w:r>
        <w:rPr>
          <w:u w:val="single"/>
        </w:rPr>
        <w:t xml:space="preserve"> </w:t>
      </w:r>
    </w:p>
    <w:p w14:paraId="3A51C211" w14:textId="77777777" w:rsidR="008922E0" w:rsidRDefault="00F86224" w:rsidP="00ED423E">
      <w:pPr>
        <w:pStyle w:val="Heading1"/>
        <w:spacing w:before="0" w:line="240" w:lineRule="auto"/>
      </w:pPr>
      <w:r>
        <w:t>M</w:t>
      </w:r>
      <w:r w:rsidR="00CB3CD1">
        <w:t>e</w:t>
      </w:r>
      <w:r w:rsidR="00D3445B" w:rsidRPr="002D290D">
        <w:t>trics</w:t>
      </w:r>
      <w:r w:rsidR="008C092A">
        <w:t xml:space="preserve"> </w:t>
      </w:r>
      <w:r w:rsidR="00F010F4">
        <w:t>and</w:t>
      </w:r>
      <w:r w:rsidR="00862A5D">
        <w:t xml:space="preserve"> Targets</w:t>
      </w:r>
    </w:p>
    <w:p w14:paraId="6D8ECFAE" w14:textId="77777777" w:rsidR="008922E0" w:rsidRDefault="008922E0" w:rsidP="00ED423E">
      <w:pPr>
        <w:spacing w:after="0" w:line="240" w:lineRule="auto"/>
      </w:pPr>
    </w:p>
    <w:tbl>
      <w:tblPr>
        <w:tblStyle w:val="TableGrid1"/>
        <w:tblW w:w="0" w:type="auto"/>
        <w:tblLook w:val="04A0" w:firstRow="1" w:lastRow="0" w:firstColumn="1" w:lastColumn="0" w:noHBand="0" w:noVBand="1"/>
      </w:tblPr>
      <w:tblGrid>
        <w:gridCol w:w="7196"/>
        <w:gridCol w:w="2835"/>
      </w:tblGrid>
      <w:tr w:rsidR="008922E0" w14:paraId="4BA36786" w14:textId="77777777" w:rsidTr="00350A0C">
        <w:tc>
          <w:tcPr>
            <w:tcW w:w="7196" w:type="dxa"/>
          </w:tcPr>
          <w:p w14:paraId="1AC22752" w14:textId="77777777" w:rsidR="008922E0" w:rsidRPr="000906CB" w:rsidRDefault="008922E0" w:rsidP="00ED423E">
            <w:pPr>
              <w:jc w:val="center"/>
              <w:rPr>
                <w:rFonts w:asciiTheme="minorHAnsi" w:hAnsiTheme="minorHAnsi" w:cstheme="minorHAnsi"/>
                <w:b/>
                <w:sz w:val="24"/>
              </w:rPr>
            </w:pPr>
            <w:r w:rsidRPr="000906CB">
              <w:rPr>
                <w:rFonts w:asciiTheme="minorHAnsi" w:hAnsiTheme="minorHAnsi" w:cstheme="minorHAnsi"/>
                <w:b/>
                <w:sz w:val="24"/>
              </w:rPr>
              <w:t>System-Wide Metrics</w:t>
            </w:r>
          </w:p>
        </w:tc>
        <w:tc>
          <w:tcPr>
            <w:tcW w:w="2835" w:type="dxa"/>
          </w:tcPr>
          <w:p w14:paraId="256B37DA" w14:textId="77777777" w:rsidR="008922E0" w:rsidRPr="000906CB" w:rsidRDefault="008922E0" w:rsidP="00ED423E">
            <w:pPr>
              <w:jc w:val="center"/>
              <w:rPr>
                <w:rFonts w:asciiTheme="minorHAnsi" w:hAnsiTheme="minorHAnsi" w:cstheme="minorHAnsi"/>
                <w:b/>
                <w:sz w:val="24"/>
              </w:rPr>
            </w:pPr>
            <w:r w:rsidRPr="000906CB">
              <w:rPr>
                <w:rFonts w:asciiTheme="minorHAnsi" w:hAnsiTheme="minorHAnsi" w:cstheme="minorHAnsi"/>
                <w:b/>
                <w:sz w:val="24"/>
              </w:rPr>
              <w:t>2019-20 Target</w:t>
            </w:r>
          </w:p>
          <w:p w14:paraId="1D4A6F7A" w14:textId="77777777" w:rsidR="008922E0" w:rsidRPr="000906CB" w:rsidRDefault="008922E0" w:rsidP="00ED423E">
            <w:pPr>
              <w:jc w:val="center"/>
              <w:rPr>
                <w:rFonts w:asciiTheme="minorHAnsi" w:hAnsiTheme="minorHAnsi" w:cstheme="minorHAnsi"/>
                <w:b/>
                <w:sz w:val="24"/>
              </w:rPr>
            </w:pPr>
          </w:p>
        </w:tc>
      </w:tr>
      <w:tr w:rsidR="008922E0" w14:paraId="7FE3F6FC" w14:textId="77777777" w:rsidTr="00350A0C">
        <w:tc>
          <w:tcPr>
            <w:tcW w:w="7196" w:type="dxa"/>
          </w:tcPr>
          <w:p w14:paraId="56C74F1A" w14:textId="77777777" w:rsidR="003B7488" w:rsidRPr="00624223" w:rsidRDefault="003B7488" w:rsidP="00624223">
            <w:pPr>
              <w:rPr>
                <w:rStyle w:val="Emphasis"/>
                <w:rFonts w:asciiTheme="minorHAnsi" w:hAnsiTheme="minorHAnsi" w:cstheme="minorHAnsi"/>
                <w:b w:val="0"/>
                <w:i w:val="0"/>
                <w:sz w:val="22"/>
                <w:szCs w:val="22"/>
              </w:rPr>
            </w:pPr>
            <w:r w:rsidRPr="00624223">
              <w:rPr>
                <w:rStyle w:val="Emphasis"/>
                <w:rFonts w:asciiTheme="minorHAnsi" w:hAnsiTheme="minorHAnsi" w:cstheme="minorHAnsi"/>
                <w:b w:val="0"/>
                <w:i w:val="0"/>
                <w:sz w:val="22"/>
                <w:szCs w:val="22"/>
              </w:rPr>
              <w:t>Graduate employment rates</w:t>
            </w:r>
          </w:p>
          <w:p w14:paraId="373286F7" w14:textId="77777777" w:rsidR="008922E0" w:rsidRPr="00624223" w:rsidRDefault="008922E0" w:rsidP="00624223">
            <w:pPr>
              <w:rPr>
                <w:rFonts w:asciiTheme="minorHAnsi" w:hAnsiTheme="minorHAnsi" w:cstheme="minorHAnsi"/>
                <w:sz w:val="22"/>
                <w:szCs w:val="22"/>
              </w:rPr>
            </w:pPr>
          </w:p>
        </w:tc>
        <w:tc>
          <w:tcPr>
            <w:tcW w:w="2835" w:type="dxa"/>
          </w:tcPr>
          <w:p w14:paraId="28708880" w14:textId="77777777" w:rsidR="003B7488" w:rsidRPr="00624223" w:rsidRDefault="001E5C95" w:rsidP="00624223">
            <w:pPr>
              <w:rPr>
                <w:rStyle w:val="Emphasis"/>
                <w:rFonts w:asciiTheme="minorHAnsi" w:hAnsiTheme="minorHAnsi" w:cstheme="minorHAnsi"/>
                <w:b w:val="0"/>
                <w:i w:val="0"/>
                <w:sz w:val="22"/>
                <w:szCs w:val="22"/>
              </w:rPr>
            </w:pPr>
            <w:r>
              <w:rPr>
                <w:rStyle w:val="Emphasis"/>
                <w:rFonts w:asciiTheme="minorHAnsi" w:hAnsiTheme="minorHAnsi" w:cstheme="minorHAnsi"/>
                <w:b w:val="0"/>
                <w:i w:val="0"/>
                <w:sz w:val="22"/>
                <w:szCs w:val="22"/>
              </w:rPr>
              <w:t>86.98% (6 months); 93.56% (2 years)</w:t>
            </w:r>
            <w:r w:rsidR="00FA73E3">
              <w:rPr>
                <w:rStyle w:val="Emphasis"/>
                <w:rFonts w:asciiTheme="minorHAnsi" w:hAnsiTheme="minorHAnsi" w:cstheme="minorHAnsi"/>
                <w:b w:val="0"/>
                <w:i w:val="0"/>
                <w:sz w:val="22"/>
                <w:szCs w:val="22"/>
              </w:rPr>
              <w:t xml:space="preserve"> </w:t>
            </w:r>
          </w:p>
          <w:p w14:paraId="00315704" w14:textId="77777777" w:rsidR="008922E0" w:rsidRPr="00624223" w:rsidRDefault="008922E0" w:rsidP="00624223">
            <w:pPr>
              <w:rPr>
                <w:rFonts w:asciiTheme="minorHAnsi" w:hAnsiTheme="minorHAnsi" w:cstheme="minorHAnsi"/>
                <w:sz w:val="22"/>
                <w:szCs w:val="22"/>
              </w:rPr>
            </w:pPr>
          </w:p>
        </w:tc>
      </w:tr>
      <w:tr w:rsidR="008922E0" w14:paraId="57D45811" w14:textId="77777777" w:rsidTr="00350A0C">
        <w:tc>
          <w:tcPr>
            <w:tcW w:w="7196" w:type="dxa"/>
          </w:tcPr>
          <w:p w14:paraId="67872D23" w14:textId="77777777" w:rsidR="008922E0" w:rsidRDefault="003B7488" w:rsidP="00624223">
            <w:pPr>
              <w:rPr>
                <w:rFonts w:asciiTheme="minorHAnsi" w:hAnsiTheme="minorHAnsi" w:cstheme="minorHAnsi"/>
                <w:sz w:val="22"/>
                <w:szCs w:val="22"/>
              </w:rPr>
            </w:pPr>
            <w:r w:rsidRPr="00624223">
              <w:rPr>
                <w:rStyle w:val="Emphasis"/>
                <w:rFonts w:asciiTheme="minorHAnsi" w:hAnsiTheme="minorHAnsi" w:cstheme="minorHAnsi"/>
                <w:b w:val="0"/>
                <w:i w:val="0"/>
                <w:sz w:val="22"/>
                <w:szCs w:val="22"/>
              </w:rPr>
              <w:t>Number of graduates employed full time in a related job</w:t>
            </w:r>
            <w:r w:rsidRPr="00624223">
              <w:rPr>
                <w:rFonts w:asciiTheme="minorHAnsi" w:hAnsiTheme="minorHAnsi" w:cstheme="minorHAnsi"/>
                <w:sz w:val="22"/>
                <w:szCs w:val="22"/>
              </w:rPr>
              <w:t xml:space="preserve"> </w:t>
            </w:r>
          </w:p>
          <w:p w14:paraId="47DB8F3A" w14:textId="77777777" w:rsidR="003B7488" w:rsidRPr="00624223" w:rsidRDefault="003B7488" w:rsidP="00624223">
            <w:pPr>
              <w:rPr>
                <w:rFonts w:asciiTheme="minorHAnsi" w:hAnsiTheme="minorHAnsi" w:cstheme="minorHAnsi"/>
                <w:sz w:val="22"/>
                <w:szCs w:val="22"/>
              </w:rPr>
            </w:pPr>
          </w:p>
        </w:tc>
        <w:tc>
          <w:tcPr>
            <w:tcW w:w="2835" w:type="dxa"/>
          </w:tcPr>
          <w:p w14:paraId="4D12730B" w14:textId="77777777" w:rsidR="008922E0" w:rsidRPr="00624223" w:rsidRDefault="001E5C95" w:rsidP="00624223">
            <w:pPr>
              <w:rPr>
                <w:rFonts w:asciiTheme="minorHAnsi" w:hAnsiTheme="minorHAnsi" w:cstheme="minorHAnsi"/>
                <w:sz w:val="22"/>
                <w:szCs w:val="22"/>
              </w:rPr>
            </w:pPr>
            <w:r>
              <w:rPr>
                <w:rFonts w:asciiTheme="minorHAnsi" w:hAnsiTheme="minorHAnsi" w:cstheme="minorHAnsi"/>
                <w:sz w:val="22"/>
                <w:szCs w:val="22"/>
              </w:rPr>
              <w:t>88% (2 years)</w:t>
            </w:r>
            <w:r w:rsidR="00FA73E3">
              <w:rPr>
                <w:rFonts w:asciiTheme="minorHAnsi" w:hAnsiTheme="minorHAnsi" w:cstheme="minorHAnsi"/>
                <w:sz w:val="22"/>
                <w:szCs w:val="22"/>
              </w:rPr>
              <w:t xml:space="preserve"> </w:t>
            </w:r>
          </w:p>
        </w:tc>
      </w:tr>
    </w:tbl>
    <w:p w14:paraId="084373AC" w14:textId="77777777" w:rsidR="008922E0" w:rsidRDefault="008922E0" w:rsidP="008922E0"/>
    <w:tbl>
      <w:tblPr>
        <w:tblStyle w:val="TableGrid1"/>
        <w:tblW w:w="0" w:type="auto"/>
        <w:tblLook w:val="04A0" w:firstRow="1" w:lastRow="0" w:firstColumn="1" w:lastColumn="0" w:noHBand="0" w:noVBand="1"/>
      </w:tblPr>
      <w:tblGrid>
        <w:gridCol w:w="7196"/>
        <w:gridCol w:w="2835"/>
      </w:tblGrid>
      <w:tr w:rsidR="008922E0" w14:paraId="183ACD9B" w14:textId="77777777" w:rsidTr="00350A0C">
        <w:tc>
          <w:tcPr>
            <w:tcW w:w="7196" w:type="dxa"/>
          </w:tcPr>
          <w:p w14:paraId="1EB94BC1" w14:textId="77777777" w:rsidR="008922E0" w:rsidRPr="000906CB" w:rsidRDefault="008922E0" w:rsidP="00FA73E3">
            <w:pPr>
              <w:jc w:val="center"/>
              <w:rPr>
                <w:rFonts w:asciiTheme="minorHAnsi" w:hAnsiTheme="minorHAnsi" w:cstheme="minorHAnsi"/>
                <w:b/>
                <w:sz w:val="24"/>
                <w:szCs w:val="24"/>
              </w:rPr>
            </w:pPr>
            <w:r w:rsidRPr="000906CB">
              <w:rPr>
                <w:rFonts w:asciiTheme="minorHAnsi" w:hAnsiTheme="minorHAnsi" w:cstheme="minorHAnsi"/>
                <w:b/>
                <w:sz w:val="24"/>
                <w:szCs w:val="24"/>
              </w:rPr>
              <w:t>Institution</w:t>
            </w:r>
            <w:r w:rsidR="00FA73E3">
              <w:rPr>
                <w:rFonts w:asciiTheme="minorHAnsi" w:hAnsiTheme="minorHAnsi" w:cstheme="minorHAnsi"/>
                <w:b/>
                <w:sz w:val="24"/>
                <w:szCs w:val="24"/>
              </w:rPr>
              <w:t>-Specific</w:t>
            </w:r>
            <w:r w:rsidRPr="000906CB">
              <w:rPr>
                <w:rFonts w:asciiTheme="minorHAnsi" w:hAnsiTheme="minorHAnsi" w:cstheme="minorHAnsi"/>
                <w:b/>
                <w:sz w:val="24"/>
                <w:szCs w:val="24"/>
              </w:rPr>
              <w:t xml:space="preserve"> Metrics</w:t>
            </w:r>
          </w:p>
        </w:tc>
        <w:tc>
          <w:tcPr>
            <w:tcW w:w="2835" w:type="dxa"/>
          </w:tcPr>
          <w:p w14:paraId="459BDC6B" w14:textId="77777777" w:rsidR="008922E0" w:rsidRPr="000906CB" w:rsidRDefault="008922E0" w:rsidP="00350A0C">
            <w:pPr>
              <w:jc w:val="center"/>
              <w:rPr>
                <w:rFonts w:asciiTheme="minorHAnsi" w:hAnsiTheme="minorHAnsi" w:cstheme="minorHAnsi"/>
                <w:b/>
                <w:sz w:val="24"/>
                <w:szCs w:val="24"/>
              </w:rPr>
            </w:pPr>
            <w:r w:rsidRPr="000906CB">
              <w:rPr>
                <w:rFonts w:asciiTheme="minorHAnsi" w:hAnsiTheme="minorHAnsi" w:cstheme="minorHAnsi"/>
                <w:b/>
                <w:sz w:val="24"/>
                <w:szCs w:val="24"/>
              </w:rPr>
              <w:t>2019-20 Target</w:t>
            </w:r>
          </w:p>
          <w:p w14:paraId="0763BC48" w14:textId="77777777" w:rsidR="008922E0" w:rsidRPr="000906CB" w:rsidRDefault="008922E0" w:rsidP="00350A0C">
            <w:pPr>
              <w:jc w:val="center"/>
              <w:rPr>
                <w:rFonts w:asciiTheme="minorHAnsi" w:hAnsiTheme="minorHAnsi" w:cstheme="minorHAnsi"/>
                <w:b/>
                <w:sz w:val="24"/>
                <w:szCs w:val="24"/>
              </w:rPr>
            </w:pPr>
          </w:p>
        </w:tc>
      </w:tr>
      <w:tr w:rsidR="008922E0" w14:paraId="23237206" w14:textId="77777777" w:rsidTr="00350A0C">
        <w:tc>
          <w:tcPr>
            <w:tcW w:w="7196" w:type="dxa"/>
          </w:tcPr>
          <w:p w14:paraId="22EE76AC" w14:textId="77777777" w:rsidR="001E5C95" w:rsidRPr="001E5C95" w:rsidRDefault="001E5C95" w:rsidP="001E5C95">
            <w:pPr>
              <w:widowControl w:val="0"/>
              <w:tabs>
                <w:tab w:val="left" w:pos="432"/>
              </w:tabs>
              <w:spacing w:before="40" w:after="40"/>
              <w:rPr>
                <w:rFonts w:ascii="Calibri" w:hAnsi="Calibri" w:cs="Calibri"/>
                <w:bCs/>
                <w:iCs/>
                <w:spacing w:val="10"/>
                <w:sz w:val="22"/>
              </w:rPr>
            </w:pPr>
            <w:r w:rsidRPr="001E5C95">
              <w:rPr>
                <w:rFonts w:ascii="Calibri" w:hAnsi="Calibri" w:cs="Calibri"/>
                <w:bCs/>
                <w:iCs/>
                <w:spacing w:val="10"/>
                <w:sz w:val="22"/>
              </w:rPr>
              <w:t>Startup companies/jobs through startups</w:t>
            </w:r>
          </w:p>
          <w:p w14:paraId="314B6347" w14:textId="77777777" w:rsidR="008922E0" w:rsidRPr="00624223" w:rsidRDefault="00FA73E3" w:rsidP="00624223">
            <w:pPr>
              <w:pStyle w:val="Tablebullet"/>
              <w:numPr>
                <w:ilvl w:val="0"/>
                <w:numId w:val="0"/>
              </w:numPr>
              <w:tabs>
                <w:tab w:val="clear" w:pos="432"/>
                <w:tab w:val="left" w:pos="298"/>
              </w:tabs>
              <w:spacing w:before="27" w:after="27"/>
              <w:ind w:left="150"/>
              <w:rPr>
                <w:rFonts w:asciiTheme="minorHAnsi" w:hAnsiTheme="minorHAnsi" w:cstheme="minorHAnsi"/>
                <w:bCs/>
                <w:iCs/>
                <w:spacing w:val="10"/>
                <w:sz w:val="22"/>
                <w:szCs w:val="22"/>
              </w:rPr>
            </w:pPr>
            <w:r>
              <w:rPr>
                <w:rStyle w:val="Emphasis"/>
                <w:rFonts w:asciiTheme="minorHAnsi" w:hAnsiTheme="minorHAnsi" w:cstheme="minorHAnsi"/>
                <w:b w:val="0"/>
                <w:i w:val="0"/>
                <w:sz w:val="22"/>
                <w:szCs w:val="22"/>
              </w:rPr>
              <w:t xml:space="preserve"> </w:t>
            </w:r>
          </w:p>
        </w:tc>
        <w:tc>
          <w:tcPr>
            <w:tcW w:w="2835" w:type="dxa"/>
          </w:tcPr>
          <w:p w14:paraId="342C5683" w14:textId="77777777" w:rsidR="008922E0" w:rsidRPr="00624223" w:rsidRDefault="001E5C95" w:rsidP="00350A0C">
            <w:pPr>
              <w:rPr>
                <w:rStyle w:val="Emphasis"/>
                <w:rFonts w:asciiTheme="minorHAnsi" w:hAnsiTheme="minorHAnsi" w:cstheme="minorHAnsi"/>
                <w:b w:val="0"/>
                <w:i w:val="0"/>
                <w:sz w:val="22"/>
                <w:szCs w:val="22"/>
              </w:rPr>
            </w:pPr>
            <w:r>
              <w:rPr>
                <w:rStyle w:val="Emphasis"/>
                <w:rFonts w:asciiTheme="minorHAnsi" w:hAnsiTheme="minorHAnsi" w:cstheme="minorHAnsi"/>
                <w:b w:val="0"/>
                <w:i w:val="0"/>
                <w:sz w:val="22"/>
                <w:szCs w:val="22"/>
              </w:rPr>
              <w:t>20 companies/47 jobs</w:t>
            </w:r>
            <w:r w:rsidR="00FA73E3">
              <w:rPr>
                <w:rStyle w:val="Emphasis"/>
                <w:rFonts w:asciiTheme="minorHAnsi" w:hAnsiTheme="minorHAnsi" w:cstheme="minorHAnsi"/>
                <w:b w:val="0"/>
                <w:i w:val="0"/>
                <w:sz w:val="22"/>
                <w:szCs w:val="22"/>
              </w:rPr>
              <w:t xml:space="preserve"> </w:t>
            </w:r>
          </w:p>
          <w:p w14:paraId="23FFB084" w14:textId="77777777" w:rsidR="008922E0" w:rsidRPr="00624223" w:rsidRDefault="008922E0" w:rsidP="00350A0C">
            <w:pPr>
              <w:rPr>
                <w:rFonts w:asciiTheme="minorHAnsi" w:hAnsiTheme="minorHAnsi" w:cstheme="minorHAnsi"/>
                <w:sz w:val="22"/>
                <w:szCs w:val="22"/>
              </w:rPr>
            </w:pPr>
          </w:p>
        </w:tc>
      </w:tr>
      <w:tr w:rsidR="008922E0" w14:paraId="07B1D699" w14:textId="77777777" w:rsidTr="00350A0C">
        <w:tc>
          <w:tcPr>
            <w:tcW w:w="7196" w:type="dxa"/>
          </w:tcPr>
          <w:p w14:paraId="21DA2141" w14:textId="77777777" w:rsidR="008922E0" w:rsidRPr="00624223" w:rsidRDefault="001E5C95" w:rsidP="001E5C95">
            <w:pPr>
              <w:pStyle w:val="Tablebullet"/>
              <w:numPr>
                <w:ilvl w:val="0"/>
                <w:numId w:val="0"/>
              </w:numPr>
              <w:tabs>
                <w:tab w:val="clear" w:pos="432"/>
                <w:tab w:val="left" w:pos="298"/>
              </w:tabs>
              <w:spacing w:before="27" w:after="27"/>
              <w:rPr>
                <w:rFonts w:asciiTheme="minorHAnsi" w:hAnsiTheme="minorHAnsi" w:cstheme="minorHAnsi"/>
                <w:sz w:val="22"/>
                <w:szCs w:val="22"/>
              </w:rPr>
            </w:pPr>
            <w:r>
              <w:rPr>
                <w:rFonts w:asciiTheme="minorHAnsi" w:hAnsiTheme="minorHAnsi" w:cstheme="minorHAnsi"/>
                <w:sz w:val="22"/>
                <w:szCs w:val="22"/>
              </w:rPr>
              <w:t>Economic impact Durham</w:t>
            </w:r>
          </w:p>
        </w:tc>
        <w:tc>
          <w:tcPr>
            <w:tcW w:w="2835" w:type="dxa"/>
          </w:tcPr>
          <w:p w14:paraId="483A829F" w14:textId="4E0A01A0" w:rsidR="008922E0" w:rsidRPr="00624223" w:rsidRDefault="008300F9" w:rsidP="008300F9">
            <w:pPr>
              <w:rPr>
                <w:rFonts w:asciiTheme="minorHAnsi" w:hAnsiTheme="minorHAnsi" w:cstheme="minorHAnsi"/>
                <w:bCs/>
                <w:iCs/>
                <w:spacing w:val="10"/>
                <w:sz w:val="22"/>
                <w:szCs w:val="22"/>
              </w:rPr>
            </w:pPr>
            <w:r>
              <w:rPr>
                <w:rFonts w:asciiTheme="minorHAnsi" w:hAnsiTheme="minorHAnsi" w:cstheme="minorHAnsi"/>
                <w:sz w:val="22"/>
                <w:szCs w:val="22"/>
              </w:rPr>
              <w:t>526 JE</w:t>
            </w:r>
          </w:p>
        </w:tc>
      </w:tr>
      <w:tr w:rsidR="008922E0" w14:paraId="28D9F395" w14:textId="77777777" w:rsidTr="00350A0C">
        <w:tc>
          <w:tcPr>
            <w:tcW w:w="7196" w:type="dxa"/>
          </w:tcPr>
          <w:p w14:paraId="4C824DF9" w14:textId="77777777" w:rsidR="008922E0" w:rsidRPr="00624223" w:rsidRDefault="001E5C95" w:rsidP="00350A0C">
            <w:pPr>
              <w:rPr>
                <w:rFonts w:asciiTheme="minorHAnsi" w:hAnsiTheme="minorHAnsi" w:cstheme="minorHAnsi"/>
                <w:sz w:val="22"/>
                <w:szCs w:val="22"/>
              </w:rPr>
            </w:pPr>
            <w:r>
              <w:rPr>
                <w:rFonts w:asciiTheme="minorHAnsi" w:hAnsiTheme="minorHAnsi" w:cstheme="minorHAnsi"/>
                <w:sz w:val="22"/>
                <w:szCs w:val="22"/>
              </w:rPr>
              <w:t>Economic impact Peterborough</w:t>
            </w:r>
          </w:p>
        </w:tc>
        <w:tc>
          <w:tcPr>
            <w:tcW w:w="2835" w:type="dxa"/>
          </w:tcPr>
          <w:p w14:paraId="3DF6319C" w14:textId="12EA62C4" w:rsidR="008922E0" w:rsidRPr="00624223" w:rsidRDefault="008300F9" w:rsidP="008300F9">
            <w:pPr>
              <w:rPr>
                <w:rFonts w:asciiTheme="minorHAnsi" w:hAnsiTheme="minorHAnsi" w:cstheme="minorHAnsi"/>
                <w:sz w:val="22"/>
                <w:szCs w:val="22"/>
              </w:rPr>
            </w:pPr>
            <w:r>
              <w:rPr>
                <w:rFonts w:asciiTheme="minorHAnsi" w:hAnsiTheme="minorHAnsi" w:cstheme="minorHAnsi"/>
                <w:sz w:val="22"/>
                <w:szCs w:val="22"/>
              </w:rPr>
              <w:t xml:space="preserve"> 5</w:t>
            </w:r>
            <w:r>
              <w:rPr>
                <w:rFonts w:asciiTheme="minorHAnsi" w:hAnsiTheme="minorHAnsi" w:cstheme="minorHAnsi"/>
                <w:bCs/>
                <w:iCs/>
                <w:spacing w:val="10"/>
                <w:sz w:val="22"/>
                <w:szCs w:val="22"/>
              </w:rPr>
              <w:t>000 JE</w:t>
            </w:r>
          </w:p>
        </w:tc>
      </w:tr>
    </w:tbl>
    <w:p w14:paraId="4C6260A9" w14:textId="77777777" w:rsidR="009A4F09" w:rsidRDefault="009A4F09" w:rsidP="009A4F09"/>
    <w:p w14:paraId="752322CF" w14:textId="3059FF52" w:rsidR="001E5C95" w:rsidRDefault="001E5C95"/>
    <w:p w14:paraId="07A4B7DF" w14:textId="77777777" w:rsidR="00101282" w:rsidRDefault="00101282"/>
    <w:p w14:paraId="552E99A3" w14:textId="77777777" w:rsidR="00101282" w:rsidRDefault="00101282"/>
    <w:p w14:paraId="77C8E1D2" w14:textId="77777777" w:rsidR="00101282" w:rsidRDefault="00101282"/>
    <w:p w14:paraId="708C2CCC" w14:textId="77777777" w:rsidR="00101282" w:rsidRDefault="00101282"/>
    <w:p w14:paraId="4C9F8386" w14:textId="77777777" w:rsidR="00101282" w:rsidRDefault="00101282"/>
    <w:p w14:paraId="1E85776F" w14:textId="77777777" w:rsidR="00101282" w:rsidRDefault="00101282"/>
    <w:p w14:paraId="0143A94E" w14:textId="77777777" w:rsidR="00101282" w:rsidRDefault="00101282"/>
    <w:p w14:paraId="1BC2CFDC" w14:textId="77777777" w:rsidR="00101282" w:rsidRDefault="00101282"/>
    <w:p w14:paraId="1BACD915" w14:textId="77777777" w:rsidR="00101282" w:rsidRDefault="00101282"/>
    <w:p w14:paraId="5110B569" w14:textId="77777777" w:rsidR="00101282" w:rsidRDefault="00101282">
      <w:pPr>
        <w:rPr>
          <w:rFonts w:asciiTheme="majorHAnsi" w:eastAsiaTheme="majorEastAsia" w:hAnsiTheme="majorHAnsi" w:cstheme="majorBidi"/>
          <w:spacing w:val="5"/>
          <w:sz w:val="52"/>
          <w:szCs w:val="52"/>
        </w:rPr>
      </w:pPr>
    </w:p>
    <w:p w14:paraId="5FFB6339" w14:textId="77777777" w:rsidR="003B7488" w:rsidRPr="001F4BAD" w:rsidRDefault="009C77E5" w:rsidP="00624223">
      <w:pPr>
        <w:pStyle w:val="Title"/>
      </w:pPr>
      <w:r>
        <w:t xml:space="preserve">6.0 </w:t>
      </w:r>
      <w:r w:rsidR="003B7488">
        <w:t xml:space="preserve">Enrolment Strategy and Program Direction  </w:t>
      </w:r>
    </w:p>
    <w:p w14:paraId="4A1A5DA5" w14:textId="77777777" w:rsidR="003B7488" w:rsidRPr="00EE4D2D" w:rsidRDefault="003B7488" w:rsidP="00ED423E">
      <w:pPr>
        <w:pStyle w:val="ListParagraph"/>
        <w:numPr>
          <w:ilvl w:val="0"/>
          <w:numId w:val="6"/>
        </w:numPr>
        <w:tabs>
          <w:tab w:val="left" w:pos="1260"/>
        </w:tabs>
        <w:spacing w:before="480" w:after="0"/>
        <w:outlineLvl w:val="0"/>
        <w:rPr>
          <w:rFonts w:asciiTheme="majorHAnsi" w:eastAsiaTheme="majorEastAsia" w:hAnsiTheme="majorHAnsi" w:cstheme="majorBidi"/>
          <w:b/>
          <w:bCs/>
          <w:vanish/>
          <w:sz w:val="28"/>
          <w:szCs w:val="28"/>
        </w:rPr>
      </w:pPr>
    </w:p>
    <w:p w14:paraId="708757E8" w14:textId="77777777" w:rsidR="003B7488" w:rsidRPr="00EE4D2D" w:rsidRDefault="003B7488" w:rsidP="00ED423E">
      <w:pPr>
        <w:pStyle w:val="ListParagraph"/>
        <w:numPr>
          <w:ilvl w:val="0"/>
          <w:numId w:val="6"/>
        </w:numPr>
        <w:tabs>
          <w:tab w:val="left" w:pos="1260"/>
        </w:tabs>
        <w:spacing w:before="480" w:after="0"/>
        <w:outlineLvl w:val="0"/>
        <w:rPr>
          <w:rFonts w:asciiTheme="majorHAnsi" w:eastAsiaTheme="majorEastAsia" w:hAnsiTheme="majorHAnsi" w:cstheme="majorBidi"/>
          <w:b/>
          <w:bCs/>
          <w:vanish/>
          <w:sz w:val="28"/>
          <w:szCs w:val="28"/>
        </w:rPr>
      </w:pPr>
    </w:p>
    <w:p w14:paraId="13445EBD" w14:textId="77777777" w:rsidR="003B7488" w:rsidRPr="00EE4D2D" w:rsidRDefault="003B7488" w:rsidP="00ED423E">
      <w:pPr>
        <w:pStyle w:val="ListParagraph"/>
        <w:numPr>
          <w:ilvl w:val="0"/>
          <w:numId w:val="6"/>
        </w:numPr>
        <w:tabs>
          <w:tab w:val="left" w:pos="1260"/>
        </w:tabs>
        <w:spacing w:before="480" w:after="0"/>
        <w:outlineLvl w:val="0"/>
        <w:rPr>
          <w:rFonts w:asciiTheme="majorHAnsi" w:eastAsiaTheme="majorEastAsia" w:hAnsiTheme="majorHAnsi" w:cstheme="majorBidi"/>
          <w:b/>
          <w:bCs/>
          <w:vanish/>
          <w:sz w:val="28"/>
          <w:szCs w:val="28"/>
        </w:rPr>
      </w:pPr>
    </w:p>
    <w:p w14:paraId="40F32B16" w14:textId="77777777" w:rsidR="003B7488" w:rsidRPr="00EE4D2D" w:rsidRDefault="003B7488" w:rsidP="00ED423E">
      <w:pPr>
        <w:pStyle w:val="ListParagraph"/>
        <w:numPr>
          <w:ilvl w:val="0"/>
          <w:numId w:val="6"/>
        </w:numPr>
        <w:tabs>
          <w:tab w:val="left" w:pos="1260"/>
        </w:tabs>
        <w:spacing w:before="480" w:after="0"/>
        <w:outlineLvl w:val="0"/>
        <w:rPr>
          <w:rFonts w:asciiTheme="majorHAnsi" w:eastAsiaTheme="majorEastAsia" w:hAnsiTheme="majorHAnsi" w:cstheme="majorBidi"/>
          <w:b/>
          <w:bCs/>
          <w:vanish/>
          <w:sz w:val="28"/>
          <w:szCs w:val="28"/>
        </w:rPr>
      </w:pPr>
    </w:p>
    <w:p w14:paraId="4BC8CE32" w14:textId="77777777" w:rsidR="00302C1F" w:rsidRDefault="003B7488" w:rsidP="00624223">
      <w:pPr>
        <w:pStyle w:val="Heading1"/>
        <w:tabs>
          <w:tab w:val="left" w:pos="1260"/>
        </w:tabs>
      </w:pPr>
      <w:r w:rsidRPr="0087278C">
        <w:t>Enrolment</w:t>
      </w:r>
      <w:r>
        <w:t xml:space="preserve"> Plan</w:t>
      </w:r>
      <w:r w:rsidRPr="0087278C">
        <w:t xml:space="preserve"> and Corridor Midpoints </w:t>
      </w:r>
    </w:p>
    <w:p w14:paraId="719B40E2" w14:textId="77777777" w:rsidR="00ED423E" w:rsidRPr="00ED423E" w:rsidRDefault="00ED423E" w:rsidP="00ED423E"/>
    <w:p w14:paraId="6C150D71" w14:textId="77777777" w:rsidR="003B7488" w:rsidRDefault="003B7488" w:rsidP="003B7488">
      <w:pPr>
        <w:rPr>
          <w:i/>
        </w:rPr>
      </w:pPr>
      <w:r>
        <w:rPr>
          <w:i/>
        </w:rPr>
        <w:t xml:space="preserve">This section also establishes the agreed-upon corridor midpoint that will form the basis of enrolment-related funding over the course of the SMA period.  </w:t>
      </w:r>
    </w:p>
    <w:p w14:paraId="7EB1A541" w14:textId="77777777" w:rsidR="00ED423E" w:rsidRDefault="00ED423E" w:rsidP="00ED423E">
      <w:pPr>
        <w:pStyle w:val="Heading2"/>
        <w:spacing w:before="0" w:line="240" w:lineRule="auto"/>
      </w:pPr>
      <w:r>
        <w:t>Corridor Midpoint</w:t>
      </w:r>
    </w:p>
    <w:p w14:paraId="001D9C8A" w14:textId="77777777" w:rsidR="00ED423E" w:rsidRPr="00ED423E" w:rsidRDefault="00ED423E" w:rsidP="00ED423E">
      <w:pPr>
        <w:spacing w:after="0" w:line="240" w:lineRule="auto"/>
      </w:pPr>
    </w:p>
    <w:p w14:paraId="0B0AF93B" w14:textId="1E9C2318" w:rsidR="00302C1F" w:rsidRPr="00ED423E" w:rsidRDefault="00ED423E" w:rsidP="003B7488">
      <w:pPr>
        <w:rPr>
          <w:rFonts w:ascii="Calibri" w:eastAsiaTheme="minorHAnsi" w:hAnsi="Calibri" w:cs="Calibri"/>
          <w:color w:val="000000"/>
          <w:lang w:eastAsia="en-CA"/>
        </w:rPr>
      </w:pPr>
      <w:r w:rsidRPr="00ED423E">
        <w:t xml:space="preserve">For funding purposes </w:t>
      </w:r>
      <w:r w:rsidR="00C800B2" w:rsidRPr="001C5413">
        <w:rPr>
          <w:b/>
          <w:color w:val="000000"/>
          <w:lang w:eastAsia="en-CA"/>
        </w:rPr>
        <w:t>14,847.82</w:t>
      </w:r>
      <w:r w:rsidRPr="00ED423E">
        <w:rPr>
          <w:rFonts w:ascii="Calibri" w:eastAsiaTheme="minorHAnsi" w:hAnsi="Calibri" w:cs="Calibri"/>
          <w:color w:val="000000"/>
          <w:lang w:eastAsia="en-CA"/>
        </w:rPr>
        <w:t xml:space="preserve"> </w:t>
      </w:r>
      <w:r w:rsidRPr="00ED423E">
        <w:t xml:space="preserve">Weighted Grant Units (WGU) will be the corridor midpoint value for </w:t>
      </w:r>
      <w:r w:rsidR="00E3286A">
        <w:t>Trent University</w:t>
      </w:r>
      <w:r w:rsidRPr="00ED423E">
        <w:t xml:space="preserve">. This value was determined using the institution’s actual enrolment (expressed as WGUs) from the 2016-17 academic year. </w:t>
      </w:r>
      <w:r w:rsidR="004679D3">
        <w:t>Trent University</w:t>
      </w:r>
      <w:r w:rsidRPr="00ED423E">
        <w:t xml:space="preserve"> will receive funding consistent with this level of enrolment and subject to the policies contained within </w:t>
      </w:r>
      <w:r w:rsidR="00101282">
        <w:t xml:space="preserve">the </w:t>
      </w:r>
      <w:r w:rsidR="00101282" w:rsidRPr="00101282">
        <w:rPr>
          <w:rFonts w:cstheme="minorHAnsi"/>
          <w:i/>
          <w:iCs/>
        </w:rPr>
        <w:t xml:space="preserve">Ontario University Funding Model Technical Manual, </w:t>
      </w:r>
      <w:r w:rsidR="00101282" w:rsidRPr="00101282">
        <w:rPr>
          <w:rFonts w:cstheme="minorHAnsi"/>
        </w:rPr>
        <w:t>May 2017, Version 1.0</w:t>
      </w:r>
      <w:r w:rsidR="00101282">
        <w:rPr>
          <w:rFonts w:cstheme="minorHAnsi"/>
        </w:rPr>
        <w:t xml:space="preserve">. </w:t>
      </w:r>
    </w:p>
    <w:p w14:paraId="3F080E86" w14:textId="77777777" w:rsidR="003B7488" w:rsidRDefault="003B7488" w:rsidP="00624223">
      <w:pPr>
        <w:pStyle w:val="Heading2"/>
      </w:pPr>
      <w:r w:rsidRPr="00886575">
        <w:t>Projected Funding-Eligible</w:t>
      </w:r>
      <w:r>
        <w:t xml:space="preserve"> Undergraduate</w:t>
      </w:r>
      <w:r w:rsidRPr="00886575">
        <w:t xml:space="preserve"> Enrolments</w:t>
      </w:r>
    </w:p>
    <w:p w14:paraId="3321F47A" w14:textId="77777777" w:rsidR="00302C1F" w:rsidRPr="00624223" w:rsidRDefault="00302C1F" w:rsidP="00ED423E">
      <w:pPr>
        <w:spacing w:after="0" w:line="240" w:lineRule="auto"/>
        <w:rPr>
          <w:rFonts w:eastAsiaTheme="majorEastAsia" w:cstheme="minorHAnsi"/>
          <w:bCs/>
          <w:i/>
          <w:iCs/>
        </w:rPr>
      </w:pPr>
      <w:r>
        <w:rPr>
          <w:rFonts w:eastAsiaTheme="majorEastAsia" w:cstheme="minorHAnsi"/>
          <w:bCs/>
          <w:i/>
          <w:iCs/>
        </w:rPr>
        <w:t xml:space="preserve">Below is the institutions projected enrolment of funding-eligible undergraduate enrolments for </w:t>
      </w:r>
      <w:r w:rsidR="00E3286A">
        <w:rPr>
          <w:rFonts w:eastAsiaTheme="majorEastAsia" w:cstheme="minorHAnsi"/>
          <w:bCs/>
          <w:i/>
          <w:iCs/>
        </w:rPr>
        <w:t>Trent University</w:t>
      </w:r>
    </w:p>
    <w:tbl>
      <w:tblPr>
        <w:tblStyle w:val="TableGrid1"/>
        <w:tblpPr w:leftFromText="180" w:rightFromText="180" w:vertAnchor="text" w:horzAnchor="margin" w:tblpY="229"/>
        <w:tblW w:w="10298" w:type="dxa"/>
        <w:tblLook w:val="04A0" w:firstRow="1" w:lastRow="0" w:firstColumn="1" w:lastColumn="0" w:noHBand="0" w:noVBand="1"/>
      </w:tblPr>
      <w:tblGrid>
        <w:gridCol w:w="5405"/>
        <w:gridCol w:w="1631"/>
        <w:gridCol w:w="1631"/>
        <w:gridCol w:w="1631"/>
      </w:tblGrid>
      <w:tr w:rsidR="00302C1F" w:rsidRPr="00D93D11" w14:paraId="0AA33DEB" w14:textId="77777777" w:rsidTr="00B47058">
        <w:trPr>
          <w:trHeight w:val="929"/>
        </w:trPr>
        <w:tc>
          <w:tcPr>
            <w:tcW w:w="5405" w:type="dxa"/>
            <w:shd w:val="clear" w:color="auto" w:fill="auto"/>
          </w:tcPr>
          <w:p w14:paraId="38ACB3A7" w14:textId="77777777" w:rsidR="00302C1F" w:rsidRPr="00D93D11" w:rsidRDefault="00302C1F" w:rsidP="00ED423E">
            <w:pPr>
              <w:pStyle w:val="Tableheading"/>
              <w:spacing w:before="0" w:after="0"/>
              <w:rPr>
                <w:rFonts w:asciiTheme="minorHAnsi" w:hAnsiTheme="minorHAnsi" w:cstheme="minorHAnsi"/>
                <w:sz w:val="22"/>
                <w:szCs w:val="22"/>
              </w:rPr>
            </w:pPr>
          </w:p>
        </w:tc>
        <w:tc>
          <w:tcPr>
            <w:tcW w:w="1631" w:type="dxa"/>
            <w:shd w:val="clear" w:color="auto" w:fill="auto"/>
          </w:tcPr>
          <w:p w14:paraId="5474E482" w14:textId="77777777" w:rsidR="00302C1F" w:rsidRPr="00D93D11" w:rsidRDefault="00302C1F" w:rsidP="00ED423E">
            <w:pPr>
              <w:pStyle w:val="Tableheading"/>
              <w:spacing w:before="0" w:after="0"/>
              <w:jc w:val="center"/>
              <w:rPr>
                <w:rFonts w:asciiTheme="minorHAnsi" w:hAnsiTheme="minorHAnsi" w:cstheme="minorHAnsi"/>
                <w:sz w:val="22"/>
                <w:szCs w:val="22"/>
              </w:rPr>
            </w:pPr>
            <w:r w:rsidRPr="00D93D11">
              <w:rPr>
                <w:rFonts w:asciiTheme="minorHAnsi" w:hAnsiTheme="minorHAnsi" w:cstheme="minorHAnsi"/>
                <w:sz w:val="22"/>
                <w:szCs w:val="22"/>
              </w:rPr>
              <w:t>Projected</w:t>
            </w:r>
          </w:p>
          <w:p w14:paraId="236F3D13" w14:textId="77777777" w:rsidR="00302C1F" w:rsidRPr="00D93D11" w:rsidRDefault="00302C1F" w:rsidP="00ED423E">
            <w:pPr>
              <w:pStyle w:val="Tableheading"/>
              <w:spacing w:before="0" w:after="0"/>
              <w:jc w:val="center"/>
              <w:rPr>
                <w:rFonts w:asciiTheme="minorHAnsi" w:hAnsiTheme="minorHAnsi" w:cstheme="minorHAnsi"/>
                <w:sz w:val="22"/>
                <w:szCs w:val="22"/>
              </w:rPr>
            </w:pPr>
            <w:r w:rsidRPr="00D93D11">
              <w:rPr>
                <w:rFonts w:asciiTheme="minorHAnsi" w:hAnsiTheme="minorHAnsi" w:cstheme="minorHAnsi"/>
                <w:sz w:val="22"/>
                <w:szCs w:val="22"/>
              </w:rPr>
              <w:t>2017-18</w:t>
            </w:r>
          </w:p>
        </w:tc>
        <w:tc>
          <w:tcPr>
            <w:tcW w:w="1631" w:type="dxa"/>
            <w:shd w:val="clear" w:color="auto" w:fill="auto"/>
          </w:tcPr>
          <w:p w14:paraId="7D86C050" w14:textId="77777777" w:rsidR="00302C1F" w:rsidRPr="00D93D11" w:rsidRDefault="00302C1F" w:rsidP="00ED423E">
            <w:pPr>
              <w:pStyle w:val="Tableheading"/>
              <w:spacing w:before="0" w:after="0"/>
              <w:jc w:val="center"/>
              <w:rPr>
                <w:rFonts w:asciiTheme="minorHAnsi" w:hAnsiTheme="minorHAnsi" w:cstheme="minorHAnsi"/>
                <w:sz w:val="22"/>
                <w:szCs w:val="22"/>
              </w:rPr>
            </w:pPr>
            <w:r w:rsidRPr="00D93D11">
              <w:rPr>
                <w:rFonts w:asciiTheme="minorHAnsi" w:hAnsiTheme="minorHAnsi" w:cstheme="minorHAnsi"/>
                <w:sz w:val="22"/>
                <w:szCs w:val="22"/>
              </w:rPr>
              <w:t>Projected</w:t>
            </w:r>
          </w:p>
          <w:p w14:paraId="358CC908" w14:textId="77777777" w:rsidR="00302C1F" w:rsidRPr="00D93D11" w:rsidRDefault="00302C1F" w:rsidP="00ED423E">
            <w:pPr>
              <w:pStyle w:val="Tableheading"/>
              <w:spacing w:before="0" w:after="0"/>
              <w:jc w:val="center"/>
              <w:rPr>
                <w:rFonts w:asciiTheme="minorHAnsi" w:hAnsiTheme="minorHAnsi" w:cstheme="minorHAnsi"/>
                <w:sz w:val="22"/>
                <w:szCs w:val="22"/>
              </w:rPr>
            </w:pPr>
            <w:r w:rsidRPr="00D93D11">
              <w:rPr>
                <w:rFonts w:asciiTheme="minorHAnsi" w:hAnsiTheme="minorHAnsi" w:cstheme="minorHAnsi"/>
                <w:sz w:val="22"/>
                <w:szCs w:val="22"/>
              </w:rPr>
              <w:t>2018-19</w:t>
            </w:r>
          </w:p>
        </w:tc>
        <w:tc>
          <w:tcPr>
            <w:tcW w:w="1631" w:type="dxa"/>
            <w:shd w:val="clear" w:color="auto" w:fill="auto"/>
          </w:tcPr>
          <w:p w14:paraId="7508F711" w14:textId="77777777" w:rsidR="00302C1F" w:rsidRPr="00D93D11" w:rsidRDefault="00302C1F" w:rsidP="00ED423E">
            <w:pPr>
              <w:pStyle w:val="Tableheading"/>
              <w:spacing w:before="0" w:after="0"/>
              <w:jc w:val="center"/>
              <w:rPr>
                <w:rFonts w:asciiTheme="minorHAnsi" w:hAnsiTheme="minorHAnsi" w:cstheme="minorHAnsi"/>
                <w:sz w:val="22"/>
                <w:szCs w:val="22"/>
              </w:rPr>
            </w:pPr>
            <w:r w:rsidRPr="00D93D11">
              <w:rPr>
                <w:rFonts w:asciiTheme="minorHAnsi" w:hAnsiTheme="minorHAnsi" w:cstheme="minorHAnsi"/>
                <w:sz w:val="22"/>
                <w:szCs w:val="22"/>
              </w:rPr>
              <w:t>Projected</w:t>
            </w:r>
          </w:p>
          <w:p w14:paraId="73FB4C19" w14:textId="77777777" w:rsidR="00302C1F" w:rsidRPr="00D93D11" w:rsidRDefault="00302C1F" w:rsidP="00ED423E">
            <w:pPr>
              <w:pStyle w:val="Tableheading"/>
              <w:spacing w:before="0" w:after="0"/>
              <w:jc w:val="center"/>
              <w:rPr>
                <w:rFonts w:asciiTheme="minorHAnsi" w:hAnsiTheme="minorHAnsi" w:cstheme="minorHAnsi"/>
                <w:sz w:val="22"/>
                <w:szCs w:val="22"/>
              </w:rPr>
            </w:pPr>
            <w:r w:rsidRPr="00D93D11">
              <w:rPr>
                <w:rFonts w:asciiTheme="minorHAnsi" w:hAnsiTheme="minorHAnsi" w:cstheme="minorHAnsi"/>
                <w:sz w:val="22"/>
                <w:szCs w:val="22"/>
              </w:rPr>
              <w:t>2019-20</w:t>
            </w:r>
          </w:p>
        </w:tc>
      </w:tr>
      <w:tr w:rsidR="00302C1F" w:rsidRPr="00D93D11" w14:paraId="6C4C5780" w14:textId="77777777" w:rsidTr="00B47058">
        <w:trPr>
          <w:trHeight w:val="810"/>
        </w:trPr>
        <w:tc>
          <w:tcPr>
            <w:tcW w:w="5405" w:type="dxa"/>
            <w:shd w:val="clear" w:color="auto" w:fill="auto"/>
            <w:vAlign w:val="center"/>
          </w:tcPr>
          <w:p w14:paraId="338B03F7" w14:textId="77777777" w:rsidR="00302C1F" w:rsidRPr="00624223" w:rsidRDefault="00302C1F" w:rsidP="00624223">
            <w:pPr>
              <w:pStyle w:val="TableText"/>
              <w:spacing w:before="0" w:after="0"/>
              <w:jc w:val="center"/>
              <w:rPr>
                <w:rFonts w:asciiTheme="minorHAnsi" w:hAnsiTheme="minorHAnsi" w:cstheme="minorHAnsi"/>
                <w:b/>
              </w:rPr>
            </w:pPr>
            <w:r w:rsidRPr="00624223">
              <w:rPr>
                <w:rFonts w:asciiTheme="minorHAnsi" w:hAnsiTheme="minorHAnsi" w:cstheme="minorHAnsi"/>
                <w:b/>
              </w:rPr>
              <w:t>Undergraduate</w:t>
            </w:r>
            <w:r>
              <w:rPr>
                <w:rFonts w:asciiTheme="minorHAnsi" w:hAnsiTheme="minorHAnsi" w:cstheme="minorHAnsi"/>
                <w:b/>
              </w:rPr>
              <w:t xml:space="preserve"> </w:t>
            </w:r>
            <w:r w:rsidRPr="00624223">
              <w:rPr>
                <w:rFonts w:asciiTheme="minorHAnsi" w:hAnsiTheme="minorHAnsi" w:cstheme="minorHAnsi"/>
                <w:b/>
              </w:rPr>
              <w:t>Full-time Headcounts</w:t>
            </w:r>
          </w:p>
        </w:tc>
        <w:tc>
          <w:tcPr>
            <w:tcW w:w="1631" w:type="dxa"/>
            <w:shd w:val="clear" w:color="auto" w:fill="auto"/>
            <w:vAlign w:val="center"/>
          </w:tcPr>
          <w:p w14:paraId="7723D8EB" w14:textId="77777777" w:rsidR="00302C1F" w:rsidRPr="00624223" w:rsidRDefault="001C6931" w:rsidP="00624223">
            <w:pPr>
              <w:pStyle w:val="TableText"/>
              <w:spacing w:before="0" w:after="0"/>
              <w:jc w:val="center"/>
              <w:rPr>
                <w:rFonts w:asciiTheme="minorHAnsi" w:hAnsiTheme="minorHAnsi" w:cstheme="minorHAnsi"/>
              </w:rPr>
            </w:pPr>
            <w:r>
              <w:rPr>
                <w:rFonts w:asciiTheme="minorHAnsi" w:hAnsiTheme="minorHAnsi" w:cstheme="minorHAnsi"/>
              </w:rPr>
              <w:t>6,700</w:t>
            </w:r>
            <w:r w:rsidR="00FA73E3">
              <w:rPr>
                <w:rFonts w:asciiTheme="minorHAnsi" w:hAnsiTheme="minorHAnsi" w:cstheme="minorHAnsi"/>
              </w:rPr>
              <w:t xml:space="preserve"> </w:t>
            </w:r>
          </w:p>
        </w:tc>
        <w:tc>
          <w:tcPr>
            <w:tcW w:w="1631" w:type="dxa"/>
            <w:shd w:val="clear" w:color="auto" w:fill="auto"/>
            <w:vAlign w:val="center"/>
          </w:tcPr>
          <w:p w14:paraId="3545A66F" w14:textId="77777777" w:rsidR="00302C1F" w:rsidRPr="00624223" w:rsidRDefault="001C6931" w:rsidP="00624223">
            <w:pPr>
              <w:pStyle w:val="TableText"/>
              <w:spacing w:before="0" w:after="0"/>
              <w:jc w:val="center"/>
              <w:rPr>
                <w:rFonts w:asciiTheme="minorHAnsi" w:hAnsiTheme="minorHAnsi" w:cstheme="minorHAnsi"/>
              </w:rPr>
            </w:pPr>
            <w:r>
              <w:rPr>
                <w:rFonts w:asciiTheme="minorHAnsi" w:hAnsiTheme="minorHAnsi" w:cstheme="minorHAnsi"/>
              </w:rPr>
              <w:t>7,200</w:t>
            </w:r>
          </w:p>
        </w:tc>
        <w:tc>
          <w:tcPr>
            <w:tcW w:w="1631" w:type="dxa"/>
            <w:shd w:val="clear" w:color="auto" w:fill="auto"/>
            <w:vAlign w:val="center"/>
          </w:tcPr>
          <w:p w14:paraId="4C0EBBED" w14:textId="77777777" w:rsidR="00302C1F" w:rsidRPr="00624223" w:rsidRDefault="001C6931" w:rsidP="00624223">
            <w:pPr>
              <w:pStyle w:val="TableText"/>
              <w:spacing w:before="0" w:after="0"/>
              <w:jc w:val="center"/>
              <w:rPr>
                <w:rFonts w:asciiTheme="minorHAnsi" w:hAnsiTheme="minorHAnsi" w:cstheme="minorHAnsi"/>
              </w:rPr>
            </w:pPr>
            <w:r>
              <w:rPr>
                <w:rFonts w:asciiTheme="minorHAnsi" w:hAnsiTheme="minorHAnsi" w:cstheme="minorHAnsi"/>
              </w:rPr>
              <w:t>7,650</w:t>
            </w:r>
          </w:p>
        </w:tc>
      </w:tr>
    </w:tbl>
    <w:p w14:paraId="47C5B2A0" w14:textId="77777777" w:rsidR="003B7488" w:rsidRPr="00624223" w:rsidRDefault="00302C1F" w:rsidP="003B7488">
      <w:pPr>
        <w:rPr>
          <w:i/>
          <w:sz w:val="20"/>
        </w:rPr>
      </w:pPr>
      <w:r w:rsidRPr="00624223">
        <w:rPr>
          <w:i/>
          <w:sz w:val="20"/>
        </w:rPr>
        <w:t>Note – for this table, Full-time Headcount should be reported for Fall term only.</w:t>
      </w:r>
    </w:p>
    <w:p w14:paraId="066277F9" w14:textId="77777777" w:rsidR="00302C1F" w:rsidRDefault="003B7488" w:rsidP="00624223">
      <w:pPr>
        <w:pStyle w:val="Heading2"/>
      </w:pPr>
      <w:r>
        <w:t>Graduate Allocation – SMA 2017-2020</w:t>
      </w:r>
    </w:p>
    <w:p w14:paraId="0AA148C1" w14:textId="77777777" w:rsidR="00302C1F" w:rsidRPr="00624223" w:rsidRDefault="00302C1F" w:rsidP="00ED423E">
      <w:pPr>
        <w:spacing w:after="0" w:line="240" w:lineRule="auto"/>
        <w:rPr>
          <w:rFonts w:eastAsiaTheme="majorEastAsia" w:cstheme="minorHAnsi"/>
          <w:bCs/>
          <w:i/>
          <w:iCs/>
        </w:rPr>
      </w:pPr>
      <w:r>
        <w:rPr>
          <w:rFonts w:eastAsiaTheme="majorEastAsia" w:cstheme="minorHAnsi"/>
          <w:bCs/>
          <w:i/>
          <w:iCs/>
        </w:rPr>
        <w:t xml:space="preserve">Below are the allocation of funding eligible graduate and PhD spaces for </w:t>
      </w:r>
      <w:r w:rsidR="00E3286A">
        <w:rPr>
          <w:rFonts w:eastAsiaTheme="majorEastAsia" w:cstheme="minorHAnsi"/>
          <w:bCs/>
          <w:i/>
          <w:iCs/>
        </w:rPr>
        <w:t>Trent University</w:t>
      </w:r>
      <w:r>
        <w:rPr>
          <w:rFonts w:eastAsiaTheme="majorEastAsia" w:cstheme="minorHAnsi"/>
          <w:bCs/>
          <w:i/>
          <w:iCs/>
        </w:rPr>
        <w:t xml:space="preserve">  </w:t>
      </w:r>
    </w:p>
    <w:tbl>
      <w:tblPr>
        <w:tblStyle w:val="TableGrid1"/>
        <w:tblpPr w:leftFromText="180" w:rightFromText="180" w:vertAnchor="text" w:horzAnchor="margin" w:tblpY="397"/>
        <w:tblW w:w="10324" w:type="dxa"/>
        <w:tblLook w:val="04A0" w:firstRow="1" w:lastRow="0" w:firstColumn="1" w:lastColumn="0" w:noHBand="0" w:noVBand="1"/>
      </w:tblPr>
      <w:tblGrid>
        <w:gridCol w:w="2580"/>
        <w:gridCol w:w="2580"/>
        <w:gridCol w:w="2582"/>
        <w:gridCol w:w="2582"/>
      </w:tblGrid>
      <w:tr w:rsidR="00302C1F" w:rsidRPr="00624223" w14:paraId="742D983F" w14:textId="77777777" w:rsidTr="00B47058">
        <w:trPr>
          <w:trHeight w:val="225"/>
        </w:trPr>
        <w:tc>
          <w:tcPr>
            <w:tcW w:w="2580" w:type="dxa"/>
            <w:shd w:val="clear" w:color="auto" w:fill="auto"/>
          </w:tcPr>
          <w:p w14:paraId="6870B78D" w14:textId="77777777" w:rsidR="00302C1F" w:rsidRPr="00624223" w:rsidRDefault="00302C1F" w:rsidP="00ED423E">
            <w:pPr>
              <w:rPr>
                <w:rFonts w:asciiTheme="minorHAnsi" w:hAnsiTheme="minorHAnsi" w:cstheme="minorHAnsi"/>
                <w:sz w:val="24"/>
                <w:szCs w:val="24"/>
              </w:rPr>
            </w:pPr>
          </w:p>
        </w:tc>
        <w:tc>
          <w:tcPr>
            <w:tcW w:w="2580" w:type="dxa"/>
            <w:shd w:val="clear" w:color="auto" w:fill="auto"/>
          </w:tcPr>
          <w:p w14:paraId="473E9934" w14:textId="77777777" w:rsidR="00302C1F" w:rsidRDefault="00302C1F" w:rsidP="00ED423E">
            <w:pPr>
              <w:jc w:val="center"/>
              <w:rPr>
                <w:rFonts w:asciiTheme="minorHAnsi" w:hAnsiTheme="minorHAnsi" w:cstheme="minorHAnsi"/>
                <w:b/>
                <w:sz w:val="24"/>
                <w:szCs w:val="24"/>
              </w:rPr>
            </w:pPr>
            <w:r>
              <w:rPr>
                <w:rFonts w:asciiTheme="minorHAnsi" w:hAnsiTheme="minorHAnsi" w:cstheme="minorHAnsi"/>
                <w:b/>
                <w:sz w:val="24"/>
                <w:szCs w:val="24"/>
              </w:rPr>
              <w:t xml:space="preserve">Target </w:t>
            </w:r>
          </w:p>
          <w:p w14:paraId="478838D5" w14:textId="77777777" w:rsidR="00302C1F" w:rsidRPr="00624223" w:rsidRDefault="00302C1F" w:rsidP="00ED423E">
            <w:pPr>
              <w:jc w:val="center"/>
              <w:rPr>
                <w:rFonts w:asciiTheme="minorHAnsi" w:hAnsiTheme="minorHAnsi" w:cstheme="minorHAnsi"/>
                <w:b/>
                <w:sz w:val="24"/>
                <w:szCs w:val="24"/>
              </w:rPr>
            </w:pPr>
            <w:r w:rsidRPr="00624223">
              <w:rPr>
                <w:rFonts w:asciiTheme="minorHAnsi" w:hAnsiTheme="minorHAnsi" w:cstheme="minorHAnsi"/>
                <w:b/>
                <w:sz w:val="24"/>
                <w:szCs w:val="24"/>
              </w:rPr>
              <w:t>2017-18</w:t>
            </w:r>
          </w:p>
        </w:tc>
        <w:tc>
          <w:tcPr>
            <w:tcW w:w="2582" w:type="dxa"/>
            <w:shd w:val="clear" w:color="auto" w:fill="auto"/>
          </w:tcPr>
          <w:p w14:paraId="4FF90E28" w14:textId="77777777" w:rsidR="00302C1F" w:rsidRDefault="00302C1F" w:rsidP="00ED423E">
            <w:pPr>
              <w:jc w:val="center"/>
              <w:rPr>
                <w:rFonts w:asciiTheme="minorHAnsi" w:hAnsiTheme="minorHAnsi" w:cstheme="minorHAnsi"/>
                <w:b/>
                <w:sz w:val="24"/>
                <w:szCs w:val="24"/>
              </w:rPr>
            </w:pPr>
            <w:r>
              <w:rPr>
                <w:rFonts w:asciiTheme="minorHAnsi" w:hAnsiTheme="minorHAnsi" w:cstheme="minorHAnsi"/>
                <w:b/>
                <w:sz w:val="24"/>
                <w:szCs w:val="24"/>
              </w:rPr>
              <w:t xml:space="preserve">Target </w:t>
            </w:r>
          </w:p>
          <w:p w14:paraId="20A0F903" w14:textId="77777777" w:rsidR="00302C1F" w:rsidRPr="00624223" w:rsidRDefault="00302C1F" w:rsidP="00ED423E">
            <w:pPr>
              <w:jc w:val="center"/>
              <w:rPr>
                <w:rFonts w:asciiTheme="minorHAnsi" w:hAnsiTheme="minorHAnsi" w:cstheme="minorHAnsi"/>
                <w:b/>
                <w:sz w:val="24"/>
                <w:szCs w:val="24"/>
              </w:rPr>
            </w:pPr>
            <w:r w:rsidRPr="00624223">
              <w:rPr>
                <w:rFonts w:asciiTheme="minorHAnsi" w:hAnsiTheme="minorHAnsi" w:cstheme="minorHAnsi"/>
                <w:b/>
                <w:sz w:val="24"/>
                <w:szCs w:val="24"/>
              </w:rPr>
              <w:t>2018-19</w:t>
            </w:r>
          </w:p>
        </w:tc>
        <w:tc>
          <w:tcPr>
            <w:tcW w:w="2582" w:type="dxa"/>
            <w:shd w:val="clear" w:color="auto" w:fill="auto"/>
          </w:tcPr>
          <w:p w14:paraId="5A7DB1D1" w14:textId="77777777" w:rsidR="00302C1F" w:rsidRDefault="00302C1F" w:rsidP="00ED423E">
            <w:pPr>
              <w:jc w:val="center"/>
              <w:rPr>
                <w:rFonts w:asciiTheme="minorHAnsi" w:hAnsiTheme="minorHAnsi" w:cstheme="minorHAnsi"/>
                <w:b/>
                <w:sz w:val="24"/>
                <w:szCs w:val="24"/>
              </w:rPr>
            </w:pPr>
            <w:r>
              <w:rPr>
                <w:rFonts w:asciiTheme="minorHAnsi" w:hAnsiTheme="minorHAnsi" w:cstheme="minorHAnsi"/>
                <w:b/>
                <w:sz w:val="24"/>
                <w:szCs w:val="24"/>
              </w:rPr>
              <w:t xml:space="preserve">Target </w:t>
            </w:r>
          </w:p>
          <w:p w14:paraId="231B94F1" w14:textId="77777777" w:rsidR="00302C1F" w:rsidRPr="00624223" w:rsidRDefault="00302C1F" w:rsidP="00ED423E">
            <w:pPr>
              <w:jc w:val="center"/>
              <w:rPr>
                <w:rFonts w:asciiTheme="minorHAnsi" w:hAnsiTheme="minorHAnsi" w:cstheme="minorHAnsi"/>
                <w:b/>
                <w:sz w:val="24"/>
                <w:szCs w:val="24"/>
              </w:rPr>
            </w:pPr>
            <w:r w:rsidRPr="00624223">
              <w:rPr>
                <w:rFonts w:asciiTheme="minorHAnsi" w:hAnsiTheme="minorHAnsi" w:cstheme="minorHAnsi"/>
                <w:b/>
                <w:sz w:val="24"/>
                <w:szCs w:val="24"/>
              </w:rPr>
              <w:t>2019-20</w:t>
            </w:r>
          </w:p>
        </w:tc>
      </w:tr>
      <w:tr w:rsidR="00302C1F" w:rsidRPr="00624223" w14:paraId="411F43D0" w14:textId="77777777" w:rsidTr="00B47058">
        <w:trPr>
          <w:trHeight w:val="287"/>
        </w:trPr>
        <w:tc>
          <w:tcPr>
            <w:tcW w:w="2580" w:type="dxa"/>
            <w:shd w:val="clear" w:color="auto" w:fill="auto"/>
          </w:tcPr>
          <w:p w14:paraId="143699A8" w14:textId="77777777" w:rsidR="00302C1F" w:rsidRPr="00624223" w:rsidRDefault="00302C1F" w:rsidP="00302C1F">
            <w:pPr>
              <w:rPr>
                <w:rFonts w:asciiTheme="minorHAnsi" w:hAnsiTheme="minorHAnsi" w:cstheme="minorHAnsi"/>
                <w:b/>
                <w:sz w:val="24"/>
                <w:szCs w:val="24"/>
              </w:rPr>
            </w:pPr>
            <w:r w:rsidRPr="00624223">
              <w:rPr>
                <w:rFonts w:asciiTheme="minorHAnsi" w:hAnsiTheme="minorHAnsi" w:cstheme="minorHAnsi"/>
                <w:b/>
                <w:sz w:val="24"/>
                <w:szCs w:val="24"/>
              </w:rPr>
              <w:t>Masters</w:t>
            </w:r>
          </w:p>
        </w:tc>
        <w:tc>
          <w:tcPr>
            <w:tcW w:w="2580" w:type="dxa"/>
            <w:shd w:val="clear" w:color="auto" w:fill="auto"/>
          </w:tcPr>
          <w:p w14:paraId="0DB183BF" w14:textId="77777777" w:rsidR="00302C1F" w:rsidRPr="00624223" w:rsidRDefault="00FA73E3" w:rsidP="00302C1F">
            <w:pPr>
              <w:jc w:val="center"/>
              <w:rPr>
                <w:rFonts w:asciiTheme="minorHAnsi" w:hAnsiTheme="minorHAnsi" w:cstheme="minorHAnsi"/>
                <w:sz w:val="24"/>
                <w:szCs w:val="24"/>
              </w:rPr>
            </w:pPr>
            <w:r>
              <w:rPr>
                <w:rFonts w:asciiTheme="minorHAnsi" w:hAnsiTheme="minorHAnsi" w:cstheme="minorHAnsi"/>
                <w:sz w:val="24"/>
                <w:szCs w:val="24"/>
              </w:rPr>
              <w:t xml:space="preserve"> </w:t>
            </w:r>
            <w:r w:rsidR="001D2A8F">
              <w:rPr>
                <w:rFonts w:asciiTheme="minorHAnsi" w:hAnsiTheme="minorHAnsi" w:cstheme="minorHAnsi"/>
                <w:sz w:val="24"/>
                <w:szCs w:val="24"/>
              </w:rPr>
              <w:t>198</w:t>
            </w:r>
          </w:p>
        </w:tc>
        <w:tc>
          <w:tcPr>
            <w:tcW w:w="2582" w:type="dxa"/>
            <w:shd w:val="clear" w:color="auto" w:fill="auto"/>
          </w:tcPr>
          <w:p w14:paraId="6E17F553" w14:textId="77777777" w:rsidR="00302C1F" w:rsidRDefault="001D2A8F" w:rsidP="00302C1F">
            <w:pPr>
              <w:jc w:val="center"/>
              <w:rPr>
                <w:rFonts w:asciiTheme="minorHAnsi" w:hAnsiTheme="minorHAnsi" w:cstheme="minorHAnsi"/>
                <w:sz w:val="24"/>
                <w:szCs w:val="24"/>
              </w:rPr>
            </w:pPr>
            <w:r>
              <w:rPr>
                <w:rFonts w:asciiTheme="minorHAnsi" w:hAnsiTheme="minorHAnsi" w:cstheme="minorHAnsi"/>
                <w:sz w:val="24"/>
                <w:szCs w:val="24"/>
              </w:rPr>
              <w:t>198</w:t>
            </w:r>
          </w:p>
          <w:p w14:paraId="282B612C" w14:textId="77777777" w:rsidR="00302C1F" w:rsidRPr="00624223" w:rsidRDefault="00302C1F" w:rsidP="00302C1F">
            <w:pPr>
              <w:jc w:val="center"/>
              <w:rPr>
                <w:rFonts w:asciiTheme="minorHAnsi" w:hAnsiTheme="minorHAnsi" w:cstheme="minorHAnsi"/>
                <w:sz w:val="24"/>
                <w:szCs w:val="24"/>
              </w:rPr>
            </w:pPr>
          </w:p>
        </w:tc>
        <w:tc>
          <w:tcPr>
            <w:tcW w:w="2582" w:type="dxa"/>
            <w:shd w:val="clear" w:color="auto" w:fill="auto"/>
          </w:tcPr>
          <w:p w14:paraId="233B9DBE" w14:textId="77777777" w:rsidR="00302C1F" w:rsidRPr="00624223" w:rsidRDefault="001D2A8F" w:rsidP="00302C1F">
            <w:pPr>
              <w:jc w:val="center"/>
              <w:rPr>
                <w:rFonts w:asciiTheme="minorHAnsi" w:hAnsiTheme="minorHAnsi" w:cstheme="minorHAnsi"/>
                <w:sz w:val="24"/>
                <w:szCs w:val="24"/>
              </w:rPr>
            </w:pPr>
            <w:r>
              <w:rPr>
                <w:rFonts w:asciiTheme="minorHAnsi" w:hAnsiTheme="minorHAnsi" w:cstheme="minorHAnsi"/>
                <w:sz w:val="24"/>
                <w:szCs w:val="24"/>
              </w:rPr>
              <w:t>198</w:t>
            </w:r>
          </w:p>
        </w:tc>
      </w:tr>
      <w:tr w:rsidR="00302C1F" w:rsidRPr="00624223" w14:paraId="03529F40" w14:textId="77777777" w:rsidTr="00B47058">
        <w:trPr>
          <w:trHeight w:val="275"/>
        </w:trPr>
        <w:tc>
          <w:tcPr>
            <w:tcW w:w="2580" w:type="dxa"/>
            <w:shd w:val="clear" w:color="auto" w:fill="auto"/>
          </w:tcPr>
          <w:p w14:paraId="67794878" w14:textId="77777777" w:rsidR="00302C1F" w:rsidRPr="00624223" w:rsidRDefault="00302C1F" w:rsidP="00302C1F">
            <w:pPr>
              <w:rPr>
                <w:rFonts w:asciiTheme="minorHAnsi" w:hAnsiTheme="minorHAnsi" w:cstheme="minorHAnsi"/>
                <w:b/>
                <w:sz w:val="24"/>
                <w:szCs w:val="24"/>
              </w:rPr>
            </w:pPr>
            <w:r w:rsidRPr="00624223">
              <w:rPr>
                <w:rFonts w:asciiTheme="minorHAnsi" w:hAnsiTheme="minorHAnsi" w:cstheme="minorHAnsi"/>
                <w:b/>
                <w:sz w:val="24"/>
                <w:szCs w:val="24"/>
              </w:rPr>
              <w:t>PhD</w:t>
            </w:r>
          </w:p>
        </w:tc>
        <w:tc>
          <w:tcPr>
            <w:tcW w:w="2580" w:type="dxa"/>
            <w:shd w:val="clear" w:color="auto" w:fill="auto"/>
          </w:tcPr>
          <w:p w14:paraId="32DE0F7E" w14:textId="77777777" w:rsidR="00302C1F" w:rsidRPr="00624223" w:rsidRDefault="001D2A8F" w:rsidP="00302C1F">
            <w:pPr>
              <w:jc w:val="center"/>
              <w:rPr>
                <w:rFonts w:asciiTheme="minorHAnsi" w:hAnsiTheme="minorHAnsi" w:cstheme="minorHAnsi"/>
                <w:sz w:val="24"/>
                <w:szCs w:val="24"/>
              </w:rPr>
            </w:pPr>
            <w:r>
              <w:rPr>
                <w:rFonts w:asciiTheme="minorHAnsi" w:hAnsiTheme="minorHAnsi" w:cstheme="minorHAnsi"/>
                <w:sz w:val="24"/>
                <w:szCs w:val="24"/>
              </w:rPr>
              <w:t>79</w:t>
            </w:r>
            <w:r w:rsidR="00FA73E3">
              <w:rPr>
                <w:rFonts w:asciiTheme="minorHAnsi" w:hAnsiTheme="minorHAnsi" w:cstheme="minorHAnsi"/>
                <w:sz w:val="24"/>
                <w:szCs w:val="24"/>
              </w:rPr>
              <w:t xml:space="preserve"> </w:t>
            </w:r>
          </w:p>
        </w:tc>
        <w:tc>
          <w:tcPr>
            <w:tcW w:w="2582" w:type="dxa"/>
            <w:shd w:val="clear" w:color="auto" w:fill="auto"/>
          </w:tcPr>
          <w:p w14:paraId="0C051DD5" w14:textId="77777777" w:rsidR="00302C1F" w:rsidRDefault="001D2A8F" w:rsidP="00302C1F">
            <w:pPr>
              <w:jc w:val="center"/>
              <w:rPr>
                <w:rFonts w:asciiTheme="minorHAnsi" w:hAnsiTheme="minorHAnsi" w:cstheme="minorHAnsi"/>
                <w:sz w:val="24"/>
                <w:szCs w:val="24"/>
              </w:rPr>
            </w:pPr>
            <w:r>
              <w:rPr>
                <w:rFonts w:asciiTheme="minorHAnsi" w:hAnsiTheme="minorHAnsi" w:cstheme="minorHAnsi"/>
                <w:sz w:val="24"/>
                <w:szCs w:val="24"/>
              </w:rPr>
              <w:t>79</w:t>
            </w:r>
          </w:p>
          <w:p w14:paraId="3B562BAD" w14:textId="77777777" w:rsidR="00302C1F" w:rsidRPr="00624223" w:rsidRDefault="00302C1F" w:rsidP="00302C1F">
            <w:pPr>
              <w:jc w:val="center"/>
              <w:rPr>
                <w:rFonts w:asciiTheme="minorHAnsi" w:hAnsiTheme="minorHAnsi" w:cstheme="minorHAnsi"/>
                <w:sz w:val="24"/>
                <w:szCs w:val="24"/>
              </w:rPr>
            </w:pPr>
          </w:p>
        </w:tc>
        <w:tc>
          <w:tcPr>
            <w:tcW w:w="2582" w:type="dxa"/>
            <w:shd w:val="clear" w:color="auto" w:fill="auto"/>
          </w:tcPr>
          <w:p w14:paraId="73D667A2" w14:textId="77777777" w:rsidR="00302C1F" w:rsidRPr="00624223" w:rsidRDefault="001D2A8F" w:rsidP="00302C1F">
            <w:pPr>
              <w:jc w:val="center"/>
              <w:rPr>
                <w:rFonts w:asciiTheme="minorHAnsi" w:hAnsiTheme="minorHAnsi" w:cstheme="minorHAnsi"/>
                <w:sz w:val="24"/>
                <w:szCs w:val="24"/>
              </w:rPr>
            </w:pPr>
            <w:r>
              <w:rPr>
                <w:rFonts w:asciiTheme="minorHAnsi" w:hAnsiTheme="minorHAnsi" w:cstheme="minorHAnsi"/>
                <w:sz w:val="24"/>
                <w:szCs w:val="24"/>
              </w:rPr>
              <w:t>80</w:t>
            </w:r>
          </w:p>
        </w:tc>
      </w:tr>
      <w:tr w:rsidR="00302C1F" w:rsidRPr="00624223" w14:paraId="015E76E3" w14:textId="77777777" w:rsidTr="00B47058">
        <w:trPr>
          <w:trHeight w:val="527"/>
        </w:trPr>
        <w:tc>
          <w:tcPr>
            <w:tcW w:w="2580" w:type="dxa"/>
            <w:shd w:val="clear" w:color="auto" w:fill="auto"/>
          </w:tcPr>
          <w:p w14:paraId="13B41539" w14:textId="77777777" w:rsidR="00302C1F" w:rsidRPr="00624223" w:rsidRDefault="00302C1F" w:rsidP="00302C1F">
            <w:pPr>
              <w:rPr>
                <w:rFonts w:asciiTheme="minorHAnsi" w:hAnsiTheme="minorHAnsi" w:cstheme="minorHAnsi"/>
                <w:b/>
                <w:sz w:val="24"/>
                <w:szCs w:val="24"/>
              </w:rPr>
            </w:pPr>
            <w:r w:rsidRPr="00624223">
              <w:rPr>
                <w:rFonts w:asciiTheme="minorHAnsi" w:hAnsiTheme="minorHAnsi" w:cstheme="minorHAnsi"/>
                <w:b/>
                <w:sz w:val="24"/>
                <w:szCs w:val="24"/>
              </w:rPr>
              <w:t>Total</w:t>
            </w:r>
          </w:p>
        </w:tc>
        <w:tc>
          <w:tcPr>
            <w:tcW w:w="2580" w:type="dxa"/>
            <w:shd w:val="clear" w:color="auto" w:fill="auto"/>
          </w:tcPr>
          <w:p w14:paraId="7E9EDD4F" w14:textId="77777777" w:rsidR="00302C1F" w:rsidRPr="00624223" w:rsidRDefault="001D2A8F" w:rsidP="00302C1F">
            <w:pPr>
              <w:jc w:val="center"/>
              <w:rPr>
                <w:rFonts w:asciiTheme="minorHAnsi" w:hAnsiTheme="minorHAnsi" w:cstheme="minorHAnsi"/>
                <w:sz w:val="24"/>
                <w:szCs w:val="24"/>
              </w:rPr>
            </w:pPr>
            <w:r>
              <w:rPr>
                <w:rFonts w:asciiTheme="minorHAnsi" w:hAnsiTheme="minorHAnsi" w:cstheme="minorHAnsi"/>
                <w:sz w:val="24"/>
                <w:szCs w:val="24"/>
              </w:rPr>
              <w:t>277</w:t>
            </w:r>
            <w:r w:rsidR="00FA73E3">
              <w:rPr>
                <w:rFonts w:asciiTheme="minorHAnsi" w:hAnsiTheme="minorHAnsi" w:cstheme="minorHAnsi"/>
                <w:sz w:val="24"/>
                <w:szCs w:val="24"/>
              </w:rPr>
              <w:t xml:space="preserve"> </w:t>
            </w:r>
          </w:p>
        </w:tc>
        <w:tc>
          <w:tcPr>
            <w:tcW w:w="2582" w:type="dxa"/>
            <w:shd w:val="clear" w:color="auto" w:fill="auto"/>
          </w:tcPr>
          <w:p w14:paraId="2F9D19FC" w14:textId="77777777" w:rsidR="00302C1F" w:rsidRPr="00624223" w:rsidRDefault="001D2A8F" w:rsidP="00302C1F">
            <w:pPr>
              <w:jc w:val="center"/>
              <w:rPr>
                <w:rFonts w:asciiTheme="minorHAnsi" w:hAnsiTheme="minorHAnsi" w:cstheme="minorHAnsi"/>
                <w:sz w:val="24"/>
                <w:szCs w:val="24"/>
              </w:rPr>
            </w:pPr>
            <w:r>
              <w:rPr>
                <w:rFonts w:asciiTheme="minorHAnsi" w:hAnsiTheme="minorHAnsi" w:cstheme="minorHAnsi"/>
                <w:sz w:val="24"/>
                <w:szCs w:val="24"/>
              </w:rPr>
              <w:t>277</w:t>
            </w:r>
          </w:p>
        </w:tc>
        <w:tc>
          <w:tcPr>
            <w:tcW w:w="2582" w:type="dxa"/>
            <w:shd w:val="clear" w:color="auto" w:fill="auto"/>
          </w:tcPr>
          <w:p w14:paraId="38FA9CCF" w14:textId="77777777" w:rsidR="00302C1F" w:rsidRPr="00624223" w:rsidRDefault="001D2A8F" w:rsidP="00302C1F">
            <w:pPr>
              <w:jc w:val="center"/>
              <w:rPr>
                <w:rFonts w:asciiTheme="minorHAnsi" w:hAnsiTheme="minorHAnsi" w:cstheme="minorHAnsi"/>
                <w:sz w:val="24"/>
                <w:szCs w:val="24"/>
              </w:rPr>
            </w:pPr>
            <w:r>
              <w:rPr>
                <w:rFonts w:asciiTheme="minorHAnsi" w:hAnsiTheme="minorHAnsi" w:cstheme="minorHAnsi"/>
                <w:sz w:val="24"/>
                <w:szCs w:val="24"/>
              </w:rPr>
              <w:t>278</w:t>
            </w:r>
          </w:p>
        </w:tc>
      </w:tr>
    </w:tbl>
    <w:p w14:paraId="0ACA96AE" w14:textId="77777777" w:rsidR="00101282" w:rsidRPr="000906CB" w:rsidRDefault="00101282" w:rsidP="00101282">
      <w:pPr>
        <w:rPr>
          <w:i/>
          <w:sz w:val="20"/>
        </w:rPr>
      </w:pPr>
      <w:r w:rsidRPr="000906CB">
        <w:rPr>
          <w:i/>
          <w:sz w:val="20"/>
        </w:rPr>
        <w:t xml:space="preserve">Note – </w:t>
      </w:r>
      <w:r>
        <w:rPr>
          <w:i/>
          <w:sz w:val="20"/>
        </w:rPr>
        <w:t>allocation shown in FTEs</w:t>
      </w:r>
    </w:p>
    <w:p w14:paraId="442ED523" w14:textId="77777777" w:rsidR="003B7488" w:rsidRPr="00FF72A5" w:rsidRDefault="003B7488" w:rsidP="00ED423E">
      <w:pPr>
        <w:pStyle w:val="ListParagraph"/>
        <w:numPr>
          <w:ilvl w:val="0"/>
          <w:numId w:val="18"/>
        </w:numPr>
        <w:spacing w:before="200" w:after="0"/>
        <w:contextualSpacing w:val="0"/>
        <w:outlineLvl w:val="1"/>
        <w:rPr>
          <w:rFonts w:asciiTheme="majorHAnsi" w:eastAsiaTheme="majorEastAsia" w:hAnsiTheme="majorHAnsi" w:cstheme="majorBidi"/>
          <w:b/>
          <w:bCs/>
          <w:vanish/>
          <w:sz w:val="26"/>
          <w:szCs w:val="26"/>
        </w:rPr>
      </w:pPr>
    </w:p>
    <w:p w14:paraId="53B387C0" w14:textId="77777777" w:rsidR="003B7488" w:rsidRPr="00FF72A5" w:rsidRDefault="003B7488" w:rsidP="00ED423E">
      <w:pPr>
        <w:pStyle w:val="ListParagraph"/>
        <w:numPr>
          <w:ilvl w:val="0"/>
          <w:numId w:val="18"/>
        </w:numPr>
        <w:spacing w:before="200" w:after="0"/>
        <w:contextualSpacing w:val="0"/>
        <w:outlineLvl w:val="1"/>
        <w:rPr>
          <w:rFonts w:asciiTheme="majorHAnsi" w:eastAsiaTheme="majorEastAsia" w:hAnsiTheme="majorHAnsi" w:cstheme="majorBidi"/>
          <w:b/>
          <w:bCs/>
          <w:vanish/>
          <w:sz w:val="26"/>
          <w:szCs w:val="26"/>
        </w:rPr>
      </w:pPr>
    </w:p>
    <w:p w14:paraId="296BC5CA" w14:textId="77777777" w:rsidR="003B7488" w:rsidRPr="00FF72A5" w:rsidRDefault="003B7488" w:rsidP="00ED423E">
      <w:pPr>
        <w:pStyle w:val="ListParagraph"/>
        <w:numPr>
          <w:ilvl w:val="0"/>
          <w:numId w:val="18"/>
        </w:numPr>
        <w:spacing w:before="200" w:after="0"/>
        <w:contextualSpacing w:val="0"/>
        <w:outlineLvl w:val="1"/>
        <w:rPr>
          <w:rFonts w:asciiTheme="majorHAnsi" w:eastAsiaTheme="majorEastAsia" w:hAnsiTheme="majorHAnsi" w:cstheme="majorBidi"/>
          <w:b/>
          <w:bCs/>
          <w:vanish/>
          <w:sz w:val="26"/>
          <w:szCs w:val="26"/>
        </w:rPr>
      </w:pPr>
    </w:p>
    <w:p w14:paraId="268FA595" w14:textId="77777777" w:rsidR="003B7488" w:rsidRPr="00FF72A5" w:rsidRDefault="003B7488" w:rsidP="00ED423E">
      <w:pPr>
        <w:pStyle w:val="ListParagraph"/>
        <w:numPr>
          <w:ilvl w:val="0"/>
          <w:numId w:val="18"/>
        </w:numPr>
        <w:spacing w:before="200" w:after="0"/>
        <w:contextualSpacing w:val="0"/>
        <w:outlineLvl w:val="1"/>
        <w:rPr>
          <w:rFonts w:asciiTheme="majorHAnsi" w:eastAsiaTheme="majorEastAsia" w:hAnsiTheme="majorHAnsi" w:cstheme="majorBidi"/>
          <w:b/>
          <w:bCs/>
          <w:vanish/>
          <w:sz w:val="26"/>
          <w:szCs w:val="26"/>
        </w:rPr>
      </w:pPr>
    </w:p>
    <w:p w14:paraId="6FD01EBE" w14:textId="77777777" w:rsidR="003B7488" w:rsidRPr="00FF72A5" w:rsidRDefault="003B7488" w:rsidP="00ED423E">
      <w:pPr>
        <w:pStyle w:val="ListParagraph"/>
        <w:numPr>
          <w:ilvl w:val="1"/>
          <w:numId w:val="18"/>
        </w:numPr>
        <w:spacing w:before="200" w:after="0"/>
        <w:contextualSpacing w:val="0"/>
        <w:outlineLvl w:val="1"/>
        <w:rPr>
          <w:rFonts w:asciiTheme="majorHAnsi" w:eastAsiaTheme="majorEastAsia" w:hAnsiTheme="majorHAnsi" w:cstheme="majorBidi"/>
          <w:b/>
          <w:bCs/>
          <w:vanish/>
          <w:sz w:val="26"/>
          <w:szCs w:val="26"/>
        </w:rPr>
      </w:pPr>
    </w:p>
    <w:p w14:paraId="1E384228" w14:textId="77777777" w:rsidR="003B7488" w:rsidRPr="00FF72A5" w:rsidRDefault="003B7488" w:rsidP="00ED423E">
      <w:pPr>
        <w:pStyle w:val="ListParagraph"/>
        <w:numPr>
          <w:ilvl w:val="2"/>
          <w:numId w:val="18"/>
        </w:numPr>
        <w:spacing w:before="200" w:after="0"/>
        <w:contextualSpacing w:val="0"/>
        <w:outlineLvl w:val="1"/>
        <w:rPr>
          <w:rFonts w:asciiTheme="majorHAnsi" w:eastAsiaTheme="majorEastAsia" w:hAnsiTheme="majorHAnsi" w:cstheme="majorBidi"/>
          <w:b/>
          <w:bCs/>
          <w:vanish/>
          <w:sz w:val="26"/>
          <w:szCs w:val="26"/>
        </w:rPr>
      </w:pPr>
    </w:p>
    <w:p w14:paraId="39F585B5" w14:textId="77777777" w:rsidR="003B7488" w:rsidRDefault="003B7488" w:rsidP="00624223">
      <w:pPr>
        <w:pStyle w:val="Heading2"/>
      </w:pPr>
      <w:r>
        <w:t xml:space="preserve">Projected </w:t>
      </w:r>
      <w:r w:rsidRPr="002E4F24">
        <w:t xml:space="preserve">International Enrolment </w:t>
      </w:r>
    </w:p>
    <w:p w14:paraId="1B17431A" w14:textId="77777777" w:rsidR="00302C1F" w:rsidRPr="00624223" w:rsidRDefault="00302C1F" w:rsidP="00624223">
      <w:pPr>
        <w:rPr>
          <w:rFonts w:eastAsiaTheme="majorEastAsia" w:cstheme="minorHAnsi"/>
          <w:bCs/>
          <w:i/>
          <w:iCs/>
        </w:rPr>
      </w:pPr>
      <w:r>
        <w:rPr>
          <w:rFonts w:eastAsiaTheme="majorEastAsia" w:cstheme="minorHAnsi"/>
          <w:bCs/>
          <w:i/>
          <w:iCs/>
        </w:rPr>
        <w:t>Below is the institution</w:t>
      </w:r>
      <w:r w:rsidR="001C6931">
        <w:rPr>
          <w:rFonts w:eastAsiaTheme="majorEastAsia" w:cstheme="minorHAnsi"/>
          <w:bCs/>
          <w:i/>
          <w:iCs/>
        </w:rPr>
        <w:t>’</w:t>
      </w:r>
      <w:r>
        <w:rPr>
          <w:rFonts w:eastAsiaTheme="majorEastAsia" w:cstheme="minorHAnsi"/>
          <w:bCs/>
          <w:i/>
          <w:iCs/>
        </w:rPr>
        <w:t xml:space="preserve">s projected enrolment of funding-eligible undergraduate enrolments for </w:t>
      </w:r>
      <w:r w:rsidR="00E3286A">
        <w:rPr>
          <w:rFonts w:eastAsiaTheme="majorEastAsia" w:cstheme="minorHAnsi"/>
          <w:bCs/>
          <w:i/>
          <w:iCs/>
        </w:rPr>
        <w:t>Trent University</w:t>
      </w:r>
      <w:r>
        <w:rPr>
          <w:rFonts w:eastAsiaTheme="majorEastAsia" w:cstheme="minorHAnsi"/>
          <w:bCs/>
          <w:i/>
          <w:iCs/>
        </w:rPr>
        <w:t xml:space="preserve"> </w:t>
      </w:r>
    </w:p>
    <w:tbl>
      <w:tblPr>
        <w:tblStyle w:val="TableGrid1"/>
        <w:tblpPr w:leftFromText="180" w:rightFromText="180" w:vertAnchor="text" w:horzAnchor="margin" w:tblpY="190"/>
        <w:tblW w:w="0" w:type="auto"/>
        <w:tblLook w:val="04A0" w:firstRow="1" w:lastRow="0" w:firstColumn="1" w:lastColumn="0" w:noHBand="0" w:noVBand="1"/>
      </w:tblPr>
      <w:tblGrid>
        <w:gridCol w:w="3903"/>
        <w:gridCol w:w="1983"/>
        <w:gridCol w:w="1983"/>
        <w:gridCol w:w="1983"/>
      </w:tblGrid>
      <w:tr w:rsidR="00302C1F" w:rsidRPr="00696630" w14:paraId="712F2A3C" w14:textId="77777777" w:rsidTr="001D2A8F">
        <w:trPr>
          <w:trHeight w:val="473"/>
        </w:trPr>
        <w:tc>
          <w:tcPr>
            <w:tcW w:w="3903" w:type="dxa"/>
            <w:shd w:val="clear" w:color="auto" w:fill="auto"/>
          </w:tcPr>
          <w:p w14:paraId="667607D2" w14:textId="77777777" w:rsidR="00302C1F" w:rsidRPr="00624223" w:rsidRDefault="00302C1F" w:rsidP="00302C1F">
            <w:pPr>
              <w:pStyle w:val="Tableheading"/>
              <w:rPr>
                <w:rFonts w:asciiTheme="minorHAnsi" w:hAnsiTheme="minorHAnsi" w:cstheme="minorHAnsi"/>
                <w:sz w:val="22"/>
                <w:szCs w:val="22"/>
              </w:rPr>
            </w:pPr>
          </w:p>
        </w:tc>
        <w:tc>
          <w:tcPr>
            <w:tcW w:w="1983" w:type="dxa"/>
            <w:shd w:val="clear" w:color="auto" w:fill="auto"/>
          </w:tcPr>
          <w:p w14:paraId="5916F926" w14:textId="77777777" w:rsidR="00302C1F" w:rsidRPr="00624223" w:rsidRDefault="00302C1F" w:rsidP="00302C1F">
            <w:pPr>
              <w:pStyle w:val="Tableheading"/>
              <w:jc w:val="center"/>
              <w:rPr>
                <w:rFonts w:asciiTheme="minorHAnsi" w:hAnsiTheme="minorHAnsi" w:cstheme="minorHAnsi"/>
                <w:sz w:val="22"/>
                <w:szCs w:val="22"/>
              </w:rPr>
            </w:pPr>
            <w:r w:rsidRPr="00624223">
              <w:rPr>
                <w:rFonts w:asciiTheme="minorHAnsi" w:hAnsiTheme="minorHAnsi" w:cstheme="minorHAnsi"/>
                <w:sz w:val="22"/>
                <w:szCs w:val="22"/>
              </w:rPr>
              <w:t>Projected</w:t>
            </w:r>
          </w:p>
          <w:p w14:paraId="61611C4A" w14:textId="77777777" w:rsidR="00302C1F" w:rsidRPr="00624223" w:rsidRDefault="00302C1F" w:rsidP="00302C1F">
            <w:pPr>
              <w:pStyle w:val="Tableheading"/>
              <w:jc w:val="center"/>
              <w:rPr>
                <w:rFonts w:asciiTheme="minorHAnsi" w:hAnsiTheme="minorHAnsi" w:cstheme="minorHAnsi"/>
                <w:sz w:val="22"/>
                <w:szCs w:val="22"/>
              </w:rPr>
            </w:pPr>
            <w:r w:rsidRPr="00624223">
              <w:rPr>
                <w:rFonts w:asciiTheme="minorHAnsi" w:hAnsiTheme="minorHAnsi" w:cstheme="minorHAnsi"/>
                <w:sz w:val="22"/>
                <w:szCs w:val="22"/>
              </w:rPr>
              <w:t>2017-18</w:t>
            </w:r>
          </w:p>
        </w:tc>
        <w:tc>
          <w:tcPr>
            <w:tcW w:w="1983" w:type="dxa"/>
            <w:shd w:val="clear" w:color="auto" w:fill="auto"/>
          </w:tcPr>
          <w:p w14:paraId="65873BE4" w14:textId="77777777" w:rsidR="00302C1F" w:rsidRPr="00624223" w:rsidRDefault="00302C1F" w:rsidP="00302C1F">
            <w:pPr>
              <w:pStyle w:val="Tableheading"/>
              <w:jc w:val="center"/>
              <w:rPr>
                <w:rFonts w:asciiTheme="minorHAnsi" w:hAnsiTheme="minorHAnsi" w:cstheme="minorHAnsi"/>
                <w:sz w:val="22"/>
                <w:szCs w:val="22"/>
              </w:rPr>
            </w:pPr>
            <w:r w:rsidRPr="00624223">
              <w:rPr>
                <w:rFonts w:asciiTheme="minorHAnsi" w:hAnsiTheme="minorHAnsi" w:cstheme="minorHAnsi"/>
                <w:sz w:val="22"/>
                <w:szCs w:val="22"/>
              </w:rPr>
              <w:t>Projected</w:t>
            </w:r>
          </w:p>
          <w:p w14:paraId="10118115" w14:textId="77777777" w:rsidR="00302C1F" w:rsidRPr="00624223" w:rsidRDefault="00302C1F" w:rsidP="00302C1F">
            <w:pPr>
              <w:pStyle w:val="Tableheading"/>
              <w:jc w:val="center"/>
              <w:rPr>
                <w:rFonts w:asciiTheme="minorHAnsi" w:hAnsiTheme="minorHAnsi" w:cstheme="minorHAnsi"/>
                <w:sz w:val="22"/>
                <w:szCs w:val="22"/>
              </w:rPr>
            </w:pPr>
            <w:r w:rsidRPr="00624223">
              <w:rPr>
                <w:rFonts w:asciiTheme="minorHAnsi" w:hAnsiTheme="minorHAnsi" w:cstheme="minorHAnsi"/>
                <w:sz w:val="22"/>
                <w:szCs w:val="22"/>
              </w:rPr>
              <w:t>2018-19</w:t>
            </w:r>
          </w:p>
        </w:tc>
        <w:tc>
          <w:tcPr>
            <w:tcW w:w="1983" w:type="dxa"/>
            <w:shd w:val="clear" w:color="auto" w:fill="auto"/>
          </w:tcPr>
          <w:p w14:paraId="0A91C1A6" w14:textId="77777777" w:rsidR="00302C1F" w:rsidRPr="00624223" w:rsidRDefault="00302C1F" w:rsidP="00302C1F">
            <w:pPr>
              <w:pStyle w:val="Tableheading"/>
              <w:jc w:val="center"/>
              <w:rPr>
                <w:rFonts w:asciiTheme="minorHAnsi" w:hAnsiTheme="minorHAnsi" w:cstheme="minorHAnsi"/>
                <w:sz w:val="22"/>
                <w:szCs w:val="22"/>
              </w:rPr>
            </w:pPr>
            <w:r w:rsidRPr="00624223">
              <w:rPr>
                <w:rFonts w:asciiTheme="minorHAnsi" w:hAnsiTheme="minorHAnsi" w:cstheme="minorHAnsi"/>
                <w:sz w:val="22"/>
                <w:szCs w:val="22"/>
              </w:rPr>
              <w:t>Projected</w:t>
            </w:r>
          </w:p>
          <w:p w14:paraId="14BEA791" w14:textId="77777777" w:rsidR="00302C1F" w:rsidRPr="00624223" w:rsidRDefault="00302C1F" w:rsidP="00302C1F">
            <w:pPr>
              <w:pStyle w:val="Tableheading"/>
              <w:jc w:val="center"/>
              <w:rPr>
                <w:rFonts w:asciiTheme="minorHAnsi" w:hAnsiTheme="minorHAnsi" w:cstheme="minorHAnsi"/>
                <w:sz w:val="22"/>
                <w:szCs w:val="22"/>
              </w:rPr>
            </w:pPr>
            <w:r w:rsidRPr="00624223">
              <w:rPr>
                <w:rFonts w:asciiTheme="minorHAnsi" w:hAnsiTheme="minorHAnsi" w:cstheme="minorHAnsi"/>
                <w:sz w:val="22"/>
                <w:szCs w:val="22"/>
              </w:rPr>
              <w:t>2019-20</w:t>
            </w:r>
          </w:p>
        </w:tc>
      </w:tr>
      <w:tr w:rsidR="00302C1F" w14:paraId="4EDBFF02" w14:textId="77777777" w:rsidTr="001D2A8F">
        <w:trPr>
          <w:trHeight w:val="146"/>
        </w:trPr>
        <w:tc>
          <w:tcPr>
            <w:tcW w:w="3903" w:type="dxa"/>
            <w:shd w:val="clear" w:color="auto" w:fill="auto"/>
          </w:tcPr>
          <w:p w14:paraId="3974215B" w14:textId="77777777" w:rsidR="00302C1F" w:rsidRPr="00624223" w:rsidRDefault="00302C1F" w:rsidP="00302C1F">
            <w:pPr>
              <w:pStyle w:val="TableText"/>
              <w:rPr>
                <w:rFonts w:asciiTheme="minorHAnsi" w:hAnsiTheme="minorHAnsi" w:cstheme="minorHAnsi"/>
                <w:b/>
                <w:sz w:val="22"/>
                <w:szCs w:val="22"/>
              </w:rPr>
            </w:pPr>
            <w:r w:rsidRPr="00624223">
              <w:rPr>
                <w:rFonts w:asciiTheme="minorHAnsi" w:hAnsiTheme="minorHAnsi" w:cstheme="minorHAnsi"/>
                <w:b/>
                <w:sz w:val="22"/>
                <w:szCs w:val="22"/>
              </w:rPr>
              <w:t>Undergraduate</w:t>
            </w:r>
          </w:p>
          <w:p w14:paraId="373066B8" w14:textId="77777777" w:rsidR="00302C1F" w:rsidRPr="00624223" w:rsidRDefault="00302C1F" w:rsidP="00302C1F">
            <w:pPr>
              <w:pStyle w:val="TableText"/>
              <w:tabs>
                <w:tab w:val="left" w:pos="270"/>
              </w:tabs>
              <w:rPr>
                <w:rFonts w:asciiTheme="minorHAnsi" w:hAnsiTheme="minorHAnsi" w:cstheme="minorHAnsi"/>
                <w:b/>
                <w:sz w:val="22"/>
                <w:szCs w:val="22"/>
              </w:rPr>
            </w:pPr>
            <w:r w:rsidRPr="00624223">
              <w:rPr>
                <w:rFonts w:asciiTheme="minorHAnsi" w:hAnsiTheme="minorHAnsi" w:cstheme="minorHAnsi"/>
                <w:sz w:val="22"/>
                <w:szCs w:val="22"/>
              </w:rPr>
              <w:t xml:space="preserve">Full-time Headcounts </w:t>
            </w:r>
          </w:p>
        </w:tc>
        <w:tc>
          <w:tcPr>
            <w:tcW w:w="1983" w:type="dxa"/>
            <w:shd w:val="clear" w:color="auto" w:fill="auto"/>
            <w:vAlign w:val="center"/>
          </w:tcPr>
          <w:p w14:paraId="56E15F55" w14:textId="77777777" w:rsidR="00302C1F" w:rsidRPr="00ED423E" w:rsidRDefault="001D2A8F" w:rsidP="00ED423E">
            <w:pPr>
              <w:pStyle w:val="TableText"/>
              <w:jc w:val="center"/>
              <w:rPr>
                <w:rFonts w:asciiTheme="minorHAnsi" w:hAnsiTheme="minorHAnsi" w:cstheme="minorHAnsi"/>
                <w:szCs w:val="22"/>
              </w:rPr>
            </w:pPr>
            <w:r>
              <w:rPr>
                <w:rFonts w:asciiTheme="minorHAnsi" w:hAnsiTheme="minorHAnsi" w:cstheme="minorHAnsi"/>
                <w:szCs w:val="20"/>
              </w:rPr>
              <w:t>600</w:t>
            </w:r>
            <w:r w:rsidR="00FA73E3">
              <w:rPr>
                <w:rFonts w:asciiTheme="minorHAnsi" w:hAnsiTheme="minorHAnsi" w:cstheme="minorHAnsi"/>
                <w:szCs w:val="20"/>
              </w:rPr>
              <w:t xml:space="preserve"> </w:t>
            </w:r>
          </w:p>
        </w:tc>
        <w:tc>
          <w:tcPr>
            <w:tcW w:w="1983" w:type="dxa"/>
            <w:shd w:val="clear" w:color="auto" w:fill="auto"/>
            <w:vAlign w:val="center"/>
          </w:tcPr>
          <w:p w14:paraId="1F132C74" w14:textId="77777777" w:rsidR="00302C1F" w:rsidRPr="00ED423E" w:rsidRDefault="001D2A8F" w:rsidP="00ED423E">
            <w:pPr>
              <w:pStyle w:val="TableText"/>
              <w:jc w:val="center"/>
              <w:rPr>
                <w:rFonts w:asciiTheme="minorHAnsi" w:hAnsiTheme="minorHAnsi" w:cstheme="minorHAnsi"/>
                <w:szCs w:val="22"/>
              </w:rPr>
            </w:pPr>
            <w:r>
              <w:rPr>
                <w:rFonts w:asciiTheme="minorHAnsi" w:hAnsiTheme="minorHAnsi" w:cstheme="minorHAnsi"/>
                <w:szCs w:val="20"/>
              </w:rPr>
              <w:t>675</w:t>
            </w:r>
          </w:p>
        </w:tc>
        <w:tc>
          <w:tcPr>
            <w:tcW w:w="1983" w:type="dxa"/>
            <w:shd w:val="clear" w:color="auto" w:fill="auto"/>
            <w:vAlign w:val="center"/>
          </w:tcPr>
          <w:p w14:paraId="3D9D192F" w14:textId="77777777" w:rsidR="00302C1F" w:rsidRPr="00ED423E" w:rsidRDefault="001D2A8F" w:rsidP="00ED423E">
            <w:pPr>
              <w:pStyle w:val="TableText"/>
              <w:jc w:val="center"/>
              <w:rPr>
                <w:rFonts w:asciiTheme="minorHAnsi" w:hAnsiTheme="minorHAnsi" w:cstheme="minorHAnsi"/>
                <w:szCs w:val="22"/>
              </w:rPr>
            </w:pPr>
            <w:r>
              <w:rPr>
                <w:rFonts w:asciiTheme="minorHAnsi" w:hAnsiTheme="minorHAnsi" w:cstheme="minorHAnsi"/>
                <w:szCs w:val="20"/>
              </w:rPr>
              <w:t>750</w:t>
            </w:r>
          </w:p>
        </w:tc>
      </w:tr>
      <w:tr w:rsidR="00302C1F" w14:paraId="1A719A9A" w14:textId="77777777" w:rsidTr="001D2A8F">
        <w:trPr>
          <w:trHeight w:val="146"/>
        </w:trPr>
        <w:tc>
          <w:tcPr>
            <w:tcW w:w="3903" w:type="dxa"/>
            <w:shd w:val="clear" w:color="auto" w:fill="auto"/>
          </w:tcPr>
          <w:p w14:paraId="68D2CEE2" w14:textId="77777777" w:rsidR="00302C1F" w:rsidRPr="00624223" w:rsidRDefault="00302C1F" w:rsidP="00302C1F">
            <w:pPr>
              <w:pStyle w:val="TableText"/>
              <w:rPr>
                <w:rFonts w:asciiTheme="minorHAnsi" w:hAnsiTheme="minorHAnsi" w:cstheme="minorHAnsi"/>
                <w:b/>
                <w:sz w:val="22"/>
                <w:szCs w:val="22"/>
              </w:rPr>
            </w:pPr>
            <w:r w:rsidRPr="00624223">
              <w:rPr>
                <w:rFonts w:asciiTheme="minorHAnsi" w:hAnsiTheme="minorHAnsi" w:cstheme="minorHAnsi"/>
                <w:b/>
                <w:sz w:val="22"/>
                <w:szCs w:val="22"/>
              </w:rPr>
              <w:t>Masters</w:t>
            </w:r>
          </w:p>
          <w:p w14:paraId="7A57A82A" w14:textId="77777777" w:rsidR="00302C1F" w:rsidRPr="00624223" w:rsidRDefault="00302C1F" w:rsidP="00302C1F">
            <w:pPr>
              <w:pStyle w:val="TableText"/>
              <w:tabs>
                <w:tab w:val="left" w:pos="630"/>
              </w:tabs>
              <w:rPr>
                <w:rFonts w:asciiTheme="minorHAnsi" w:hAnsiTheme="minorHAnsi" w:cstheme="minorHAnsi"/>
                <w:b/>
                <w:sz w:val="22"/>
                <w:szCs w:val="22"/>
              </w:rPr>
            </w:pPr>
            <w:r w:rsidRPr="00624223">
              <w:rPr>
                <w:rFonts w:asciiTheme="minorHAnsi" w:hAnsiTheme="minorHAnsi" w:cstheme="minorHAnsi"/>
                <w:sz w:val="22"/>
                <w:szCs w:val="22"/>
              </w:rPr>
              <w:t xml:space="preserve">Full-time Headcounts </w:t>
            </w:r>
          </w:p>
        </w:tc>
        <w:tc>
          <w:tcPr>
            <w:tcW w:w="1983" w:type="dxa"/>
            <w:shd w:val="clear" w:color="auto" w:fill="auto"/>
            <w:vAlign w:val="center"/>
          </w:tcPr>
          <w:p w14:paraId="0FDB3AF6" w14:textId="77777777" w:rsidR="00302C1F" w:rsidRPr="00ED423E" w:rsidRDefault="001D2A8F" w:rsidP="00ED423E">
            <w:pPr>
              <w:pStyle w:val="TableText"/>
              <w:jc w:val="center"/>
              <w:rPr>
                <w:rFonts w:asciiTheme="minorHAnsi" w:hAnsiTheme="minorHAnsi" w:cstheme="minorHAnsi"/>
                <w:szCs w:val="22"/>
              </w:rPr>
            </w:pPr>
            <w:r>
              <w:rPr>
                <w:rFonts w:asciiTheme="minorHAnsi" w:hAnsiTheme="minorHAnsi" w:cstheme="minorHAnsi"/>
                <w:szCs w:val="20"/>
              </w:rPr>
              <w:t>50</w:t>
            </w:r>
            <w:r w:rsidR="00FA73E3">
              <w:rPr>
                <w:rFonts w:asciiTheme="minorHAnsi" w:hAnsiTheme="minorHAnsi" w:cstheme="minorHAnsi"/>
                <w:szCs w:val="20"/>
              </w:rPr>
              <w:t xml:space="preserve"> </w:t>
            </w:r>
          </w:p>
        </w:tc>
        <w:tc>
          <w:tcPr>
            <w:tcW w:w="1983" w:type="dxa"/>
            <w:shd w:val="clear" w:color="auto" w:fill="auto"/>
            <w:vAlign w:val="center"/>
          </w:tcPr>
          <w:p w14:paraId="6871B1D4" w14:textId="77777777" w:rsidR="00302C1F" w:rsidRPr="00ED423E" w:rsidRDefault="001D2A8F" w:rsidP="00ED423E">
            <w:pPr>
              <w:pStyle w:val="TableText"/>
              <w:jc w:val="center"/>
              <w:rPr>
                <w:rFonts w:asciiTheme="minorHAnsi" w:hAnsiTheme="minorHAnsi" w:cstheme="minorHAnsi"/>
                <w:szCs w:val="22"/>
              </w:rPr>
            </w:pPr>
            <w:r>
              <w:rPr>
                <w:rFonts w:asciiTheme="minorHAnsi" w:hAnsiTheme="minorHAnsi" w:cstheme="minorHAnsi"/>
                <w:szCs w:val="20"/>
              </w:rPr>
              <w:t>80</w:t>
            </w:r>
          </w:p>
        </w:tc>
        <w:tc>
          <w:tcPr>
            <w:tcW w:w="1983" w:type="dxa"/>
            <w:shd w:val="clear" w:color="auto" w:fill="auto"/>
            <w:vAlign w:val="center"/>
          </w:tcPr>
          <w:p w14:paraId="6CBFF046" w14:textId="77777777" w:rsidR="00302C1F" w:rsidRPr="00ED423E" w:rsidRDefault="001D2A8F" w:rsidP="00ED423E">
            <w:pPr>
              <w:pStyle w:val="TableText"/>
              <w:jc w:val="center"/>
              <w:rPr>
                <w:rFonts w:asciiTheme="minorHAnsi" w:hAnsiTheme="minorHAnsi" w:cstheme="minorHAnsi"/>
                <w:szCs w:val="22"/>
              </w:rPr>
            </w:pPr>
            <w:r>
              <w:rPr>
                <w:rFonts w:asciiTheme="minorHAnsi" w:hAnsiTheme="minorHAnsi" w:cstheme="minorHAnsi"/>
                <w:szCs w:val="20"/>
              </w:rPr>
              <w:t>90</w:t>
            </w:r>
          </w:p>
        </w:tc>
      </w:tr>
      <w:tr w:rsidR="00302C1F" w14:paraId="14FA38BE" w14:textId="77777777" w:rsidTr="001D2A8F">
        <w:trPr>
          <w:trHeight w:val="146"/>
        </w:trPr>
        <w:tc>
          <w:tcPr>
            <w:tcW w:w="3903" w:type="dxa"/>
            <w:shd w:val="clear" w:color="auto" w:fill="auto"/>
          </w:tcPr>
          <w:p w14:paraId="1344D273" w14:textId="77777777" w:rsidR="00302C1F" w:rsidRPr="00624223" w:rsidRDefault="00302C1F" w:rsidP="00302C1F">
            <w:pPr>
              <w:pStyle w:val="TableText"/>
              <w:rPr>
                <w:rFonts w:asciiTheme="minorHAnsi" w:hAnsiTheme="minorHAnsi" w:cstheme="minorHAnsi"/>
                <w:b/>
                <w:sz w:val="22"/>
                <w:szCs w:val="22"/>
              </w:rPr>
            </w:pPr>
            <w:r w:rsidRPr="00624223">
              <w:rPr>
                <w:rFonts w:asciiTheme="minorHAnsi" w:hAnsiTheme="minorHAnsi" w:cstheme="minorHAnsi"/>
                <w:b/>
                <w:sz w:val="22"/>
                <w:szCs w:val="22"/>
              </w:rPr>
              <w:t>Doctoral</w:t>
            </w:r>
          </w:p>
          <w:p w14:paraId="524A4AB6" w14:textId="77777777" w:rsidR="00302C1F" w:rsidRPr="00624223" w:rsidRDefault="00302C1F" w:rsidP="00302C1F">
            <w:pPr>
              <w:pStyle w:val="TableText"/>
              <w:rPr>
                <w:rFonts w:asciiTheme="minorHAnsi" w:hAnsiTheme="minorHAnsi" w:cstheme="minorHAnsi"/>
                <w:b/>
                <w:sz w:val="22"/>
                <w:szCs w:val="22"/>
              </w:rPr>
            </w:pPr>
            <w:r w:rsidRPr="00624223">
              <w:rPr>
                <w:rFonts w:asciiTheme="minorHAnsi" w:hAnsiTheme="minorHAnsi" w:cstheme="minorHAnsi"/>
                <w:sz w:val="22"/>
                <w:szCs w:val="22"/>
              </w:rPr>
              <w:t xml:space="preserve">Full-time Headcounts </w:t>
            </w:r>
          </w:p>
        </w:tc>
        <w:tc>
          <w:tcPr>
            <w:tcW w:w="1983" w:type="dxa"/>
            <w:shd w:val="clear" w:color="auto" w:fill="auto"/>
            <w:vAlign w:val="center"/>
          </w:tcPr>
          <w:p w14:paraId="07210628" w14:textId="77777777" w:rsidR="00302C1F" w:rsidRPr="00ED423E" w:rsidRDefault="001D2A8F" w:rsidP="00ED423E">
            <w:pPr>
              <w:pStyle w:val="TableText"/>
              <w:jc w:val="center"/>
              <w:rPr>
                <w:rFonts w:asciiTheme="minorHAnsi" w:hAnsiTheme="minorHAnsi" w:cstheme="minorHAnsi"/>
                <w:szCs w:val="22"/>
              </w:rPr>
            </w:pPr>
            <w:r>
              <w:rPr>
                <w:rFonts w:asciiTheme="minorHAnsi" w:hAnsiTheme="minorHAnsi" w:cstheme="minorHAnsi"/>
                <w:szCs w:val="20"/>
              </w:rPr>
              <w:t>25</w:t>
            </w:r>
            <w:r w:rsidR="00FA73E3">
              <w:rPr>
                <w:rFonts w:asciiTheme="minorHAnsi" w:hAnsiTheme="minorHAnsi" w:cstheme="minorHAnsi"/>
                <w:szCs w:val="20"/>
              </w:rPr>
              <w:t xml:space="preserve"> </w:t>
            </w:r>
          </w:p>
        </w:tc>
        <w:tc>
          <w:tcPr>
            <w:tcW w:w="1983" w:type="dxa"/>
            <w:shd w:val="clear" w:color="auto" w:fill="auto"/>
            <w:vAlign w:val="center"/>
          </w:tcPr>
          <w:p w14:paraId="18F5DE70" w14:textId="77777777" w:rsidR="00302C1F" w:rsidRPr="00ED423E" w:rsidRDefault="001D2A8F" w:rsidP="00ED423E">
            <w:pPr>
              <w:pStyle w:val="TableText"/>
              <w:jc w:val="center"/>
              <w:rPr>
                <w:rFonts w:asciiTheme="minorHAnsi" w:hAnsiTheme="minorHAnsi" w:cstheme="minorHAnsi"/>
                <w:szCs w:val="22"/>
              </w:rPr>
            </w:pPr>
            <w:r>
              <w:rPr>
                <w:rFonts w:asciiTheme="minorHAnsi" w:hAnsiTheme="minorHAnsi" w:cstheme="minorHAnsi"/>
                <w:szCs w:val="20"/>
              </w:rPr>
              <w:t>25</w:t>
            </w:r>
            <w:r w:rsidR="00FA73E3">
              <w:rPr>
                <w:rFonts w:asciiTheme="minorHAnsi" w:hAnsiTheme="minorHAnsi" w:cstheme="minorHAnsi"/>
                <w:szCs w:val="20"/>
              </w:rPr>
              <w:t xml:space="preserve"> </w:t>
            </w:r>
          </w:p>
        </w:tc>
        <w:tc>
          <w:tcPr>
            <w:tcW w:w="1983" w:type="dxa"/>
            <w:shd w:val="clear" w:color="auto" w:fill="auto"/>
            <w:vAlign w:val="center"/>
          </w:tcPr>
          <w:p w14:paraId="2B63211E" w14:textId="77777777" w:rsidR="00302C1F" w:rsidRPr="00ED423E" w:rsidRDefault="001D2A8F" w:rsidP="00ED423E">
            <w:pPr>
              <w:pStyle w:val="TableText"/>
              <w:jc w:val="center"/>
              <w:rPr>
                <w:rFonts w:asciiTheme="minorHAnsi" w:hAnsiTheme="minorHAnsi" w:cstheme="minorHAnsi"/>
                <w:szCs w:val="22"/>
              </w:rPr>
            </w:pPr>
            <w:r>
              <w:rPr>
                <w:rFonts w:asciiTheme="minorHAnsi" w:hAnsiTheme="minorHAnsi" w:cstheme="minorHAnsi"/>
                <w:szCs w:val="20"/>
              </w:rPr>
              <w:t>25</w:t>
            </w:r>
            <w:r w:rsidR="00FA73E3">
              <w:rPr>
                <w:rFonts w:asciiTheme="minorHAnsi" w:hAnsiTheme="minorHAnsi" w:cstheme="minorHAnsi"/>
                <w:szCs w:val="20"/>
              </w:rPr>
              <w:t xml:space="preserve"> </w:t>
            </w:r>
          </w:p>
        </w:tc>
      </w:tr>
      <w:tr w:rsidR="00302C1F" w14:paraId="34C17BEE" w14:textId="77777777" w:rsidTr="001D2A8F">
        <w:trPr>
          <w:trHeight w:val="736"/>
        </w:trPr>
        <w:tc>
          <w:tcPr>
            <w:tcW w:w="3903" w:type="dxa"/>
            <w:shd w:val="clear" w:color="auto" w:fill="auto"/>
          </w:tcPr>
          <w:p w14:paraId="5E5F9761" w14:textId="77777777" w:rsidR="00302C1F" w:rsidRPr="00624223" w:rsidRDefault="00302C1F" w:rsidP="00302C1F">
            <w:pPr>
              <w:pStyle w:val="TableText"/>
              <w:ind w:left="450" w:hanging="270"/>
              <w:rPr>
                <w:rFonts w:asciiTheme="minorHAnsi" w:hAnsiTheme="minorHAnsi" w:cstheme="minorHAnsi"/>
                <w:b/>
                <w:sz w:val="22"/>
                <w:szCs w:val="22"/>
              </w:rPr>
            </w:pPr>
            <w:r w:rsidRPr="00624223">
              <w:rPr>
                <w:rFonts w:asciiTheme="minorHAnsi" w:hAnsiTheme="minorHAnsi" w:cstheme="minorHAnsi"/>
                <w:b/>
                <w:sz w:val="22"/>
                <w:szCs w:val="22"/>
              </w:rPr>
              <w:t xml:space="preserve">Total Enrolment </w:t>
            </w:r>
          </w:p>
          <w:p w14:paraId="143F5396" w14:textId="77777777" w:rsidR="00302C1F" w:rsidRPr="00624223" w:rsidRDefault="00302C1F" w:rsidP="00302C1F">
            <w:pPr>
              <w:pStyle w:val="TableText"/>
              <w:rPr>
                <w:rFonts w:asciiTheme="minorHAnsi" w:hAnsiTheme="minorHAnsi" w:cstheme="minorHAnsi"/>
                <w:b/>
                <w:sz w:val="22"/>
                <w:szCs w:val="22"/>
              </w:rPr>
            </w:pPr>
            <w:r w:rsidRPr="00624223">
              <w:rPr>
                <w:rFonts w:asciiTheme="minorHAnsi" w:hAnsiTheme="minorHAnsi" w:cstheme="minorHAnsi"/>
                <w:sz w:val="22"/>
                <w:szCs w:val="22"/>
              </w:rPr>
              <w:t xml:space="preserve">Full-time Headcounts </w:t>
            </w:r>
          </w:p>
        </w:tc>
        <w:tc>
          <w:tcPr>
            <w:tcW w:w="1983" w:type="dxa"/>
            <w:shd w:val="clear" w:color="auto" w:fill="auto"/>
            <w:vAlign w:val="center"/>
          </w:tcPr>
          <w:p w14:paraId="5C7651D2" w14:textId="77777777" w:rsidR="00302C1F" w:rsidRPr="00ED423E" w:rsidRDefault="001D2A8F" w:rsidP="00ED423E">
            <w:pPr>
              <w:pStyle w:val="TableText"/>
              <w:jc w:val="center"/>
              <w:rPr>
                <w:rFonts w:asciiTheme="minorHAnsi" w:hAnsiTheme="minorHAnsi" w:cstheme="minorHAnsi"/>
                <w:szCs w:val="22"/>
              </w:rPr>
            </w:pPr>
            <w:r>
              <w:rPr>
                <w:rFonts w:asciiTheme="minorHAnsi" w:hAnsiTheme="minorHAnsi" w:cstheme="minorHAnsi"/>
                <w:szCs w:val="20"/>
              </w:rPr>
              <w:t>675</w:t>
            </w:r>
            <w:r w:rsidR="00FA73E3">
              <w:rPr>
                <w:rFonts w:asciiTheme="minorHAnsi" w:hAnsiTheme="minorHAnsi" w:cstheme="minorHAnsi"/>
                <w:szCs w:val="20"/>
              </w:rPr>
              <w:t xml:space="preserve"> </w:t>
            </w:r>
          </w:p>
        </w:tc>
        <w:tc>
          <w:tcPr>
            <w:tcW w:w="1983" w:type="dxa"/>
            <w:shd w:val="clear" w:color="auto" w:fill="auto"/>
            <w:vAlign w:val="center"/>
          </w:tcPr>
          <w:p w14:paraId="422DC533" w14:textId="77777777" w:rsidR="00302C1F" w:rsidRPr="00ED423E" w:rsidRDefault="001D2A8F" w:rsidP="00ED423E">
            <w:pPr>
              <w:pStyle w:val="TableText"/>
              <w:jc w:val="center"/>
              <w:rPr>
                <w:rFonts w:asciiTheme="minorHAnsi" w:hAnsiTheme="minorHAnsi" w:cstheme="minorHAnsi"/>
                <w:szCs w:val="22"/>
              </w:rPr>
            </w:pPr>
            <w:r>
              <w:rPr>
                <w:rFonts w:asciiTheme="minorHAnsi" w:hAnsiTheme="minorHAnsi" w:cstheme="minorHAnsi"/>
                <w:szCs w:val="20"/>
              </w:rPr>
              <w:t>780</w:t>
            </w:r>
          </w:p>
        </w:tc>
        <w:tc>
          <w:tcPr>
            <w:tcW w:w="1983" w:type="dxa"/>
            <w:shd w:val="clear" w:color="auto" w:fill="auto"/>
            <w:vAlign w:val="center"/>
          </w:tcPr>
          <w:p w14:paraId="70F2FC2F" w14:textId="77777777" w:rsidR="00302C1F" w:rsidRPr="00ED423E" w:rsidRDefault="001D2A8F" w:rsidP="00ED423E">
            <w:pPr>
              <w:pStyle w:val="TableText"/>
              <w:jc w:val="center"/>
              <w:rPr>
                <w:rFonts w:asciiTheme="minorHAnsi" w:hAnsiTheme="minorHAnsi" w:cstheme="minorHAnsi"/>
                <w:szCs w:val="22"/>
              </w:rPr>
            </w:pPr>
            <w:r>
              <w:rPr>
                <w:rFonts w:asciiTheme="minorHAnsi" w:hAnsiTheme="minorHAnsi" w:cstheme="minorHAnsi"/>
                <w:szCs w:val="20"/>
              </w:rPr>
              <w:t>865</w:t>
            </w:r>
          </w:p>
        </w:tc>
      </w:tr>
    </w:tbl>
    <w:p w14:paraId="7DBC1FD1" w14:textId="77777777" w:rsidR="009C77E5" w:rsidRPr="00624223" w:rsidRDefault="003B7488" w:rsidP="003B7488">
      <w:pPr>
        <w:rPr>
          <w:i/>
          <w:sz w:val="20"/>
        </w:rPr>
      </w:pPr>
      <w:r w:rsidRPr="00624223">
        <w:rPr>
          <w:i/>
          <w:sz w:val="20"/>
        </w:rPr>
        <w:t xml:space="preserve">Note:  International enrolments include all funding ineligible international students. </w:t>
      </w:r>
    </w:p>
    <w:p w14:paraId="351D8445" w14:textId="77777777" w:rsidR="00946341" w:rsidRDefault="00946341" w:rsidP="00624223">
      <w:pPr>
        <w:pStyle w:val="Heading2"/>
      </w:pPr>
      <w:r>
        <w:t>International Enrolment Strategy</w:t>
      </w:r>
      <w:r w:rsidR="00FB6447">
        <w:t xml:space="preserve"> </w:t>
      </w:r>
      <w:r w:rsidR="004C214D">
        <w:t>and</w:t>
      </w:r>
      <w:r w:rsidR="00FB6447">
        <w:t xml:space="preserve"> </w:t>
      </w:r>
      <w:r w:rsidR="00724619">
        <w:t xml:space="preserve">Collaboration </w:t>
      </w:r>
    </w:p>
    <w:p w14:paraId="486821E8" w14:textId="77777777" w:rsidR="00E3286A" w:rsidRPr="00E3286A" w:rsidRDefault="00E3286A" w:rsidP="00E3286A">
      <w:pPr>
        <w:rPr>
          <w:rFonts w:eastAsiaTheme="minorHAnsi"/>
        </w:rPr>
      </w:pPr>
      <w:r w:rsidRPr="00E3286A">
        <w:rPr>
          <w:rFonts w:eastAsiaTheme="minorHAnsi"/>
        </w:rPr>
        <w:t>Trent understands internationalization as “the joining of all of the components of international education that provide domestic students with an international enriching experience at home and abroad, at the same time providing international students with an invigorating knowing experience through the learning process of culture and values from the host country. Proper integration of these components promotes invaluable learning experiences that prepare all students to live, work and succeed in a globalized world.”</w:t>
      </w:r>
      <w:r w:rsidRPr="00E3286A">
        <w:rPr>
          <w:rFonts w:eastAsiaTheme="minorHAnsi"/>
          <w:vertAlign w:val="superscript"/>
        </w:rPr>
        <w:footnoteReference w:id="9"/>
      </w:r>
    </w:p>
    <w:p w14:paraId="5DE9AF20" w14:textId="77777777" w:rsidR="00E3286A" w:rsidRPr="00E3286A" w:rsidRDefault="00E3286A" w:rsidP="00E3286A">
      <w:pPr>
        <w:rPr>
          <w:rFonts w:eastAsiaTheme="minorHAnsi"/>
        </w:rPr>
      </w:pPr>
      <w:r w:rsidRPr="00E3286A">
        <w:rPr>
          <w:rFonts w:eastAsiaTheme="minorHAnsi"/>
        </w:rPr>
        <w:t xml:space="preserve">Trent conducted a major external review of its international program in the spring of 2016. In keeping with its recommendation, a search for an Associate Vice-President (AVP) International was conducted in the 2016-17 academic year. This will ensure a senior leader who will be a highly visible champion of internationalization and who will be responsible and accountable for the creation and execution of the vision and operations of the international file. In keeping with other recommendations in the external review, the new AVP will launch a broad internationalization effort titled Trent International. The first task will be the development of a revitalized approach to internationalization at Trent. The approach will include an advisory board of faculty and students. Depending on their content, particular recommendations will make their way to academic Departments, Senate, the Board of Governors, and the senior administration for discussion and possible implementation. </w:t>
      </w:r>
    </w:p>
    <w:p w14:paraId="68F04367" w14:textId="77777777" w:rsidR="00E3286A" w:rsidRPr="00E3286A" w:rsidRDefault="00E3286A" w:rsidP="00E3286A">
      <w:pPr>
        <w:rPr>
          <w:rFonts w:eastAsiaTheme="minorHAnsi"/>
        </w:rPr>
      </w:pPr>
      <w:r w:rsidRPr="00E3286A">
        <w:rPr>
          <w:rFonts w:eastAsiaTheme="minorHAnsi"/>
        </w:rPr>
        <w:t>Trent’s aim for international enrolment is for modest increases that will enhance its internationalization efforts. An initial target is 10 per cent of overall enrolment, with a possible subsequent target of 12 per cent. These are relatively modest increases over our current 7 per cent, and Trent does not anticipate major risks in pursuing these goals. To ensure that any risks that are emerged are dealt with, Trent will monitor changes annually.</w:t>
      </w:r>
    </w:p>
    <w:p w14:paraId="6456AC05" w14:textId="77777777" w:rsidR="00ED423E" w:rsidRPr="00ED423E" w:rsidRDefault="00ED423E" w:rsidP="00ED423E"/>
    <w:p w14:paraId="0E960B88" w14:textId="1D62B9D5" w:rsidR="001F4BAD" w:rsidRPr="00101282" w:rsidRDefault="00FA73E3" w:rsidP="00101282">
      <w:pPr>
        <w:pStyle w:val="Heading1"/>
        <w:rPr>
          <w:rFonts w:eastAsiaTheme="minorHAnsi"/>
        </w:rPr>
      </w:pPr>
      <w:r>
        <w:rPr>
          <w:rFonts w:eastAsiaTheme="minorHAnsi"/>
        </w:rPr>
        <w:t xml:space="preserve"> </w:t>
      </w:r>
      <w:r w:rsidR="00B805FA" w:rsidRPr="00E43AC8">
        <w:t>Strategic Areas of Program</w:t>
      </w:r>
      <w:r w:rsidR="00E605D9" w:rsidRPr="00E43AC8">
        <w:t xml:space="preserve"> Strength</w:t>
      </w:r>
      <w:r w:rsidR="00E9070D">
        <w:t xml:space="preserve"> and Expansion</w:t>
      </w:r>
    </w:p>
    <w:p w14:paraId="2D451CE0" w14:textId="77777777" w:rsidR="00E9070D" w:rsidRPr="00E9070D" w:rsidRDefault="00E9070D" w:rsidP="00AC4902">
      <w:pPr>
        <w:pStyle w:val="Heading2"/>
      </w:pPr>
      <w:r>
        <w:t>Program Areas of Strength</w:t>
      </w:r>
    </w:p>
    <w:p w14:paraId="4F718741" w14:textId="77777777" w:rsidR="00256960" w:rsidRPr="00256960" w:rsidRDefault="00FA73E3" w:rsidP="00256960">
      <w:pPr>
        <w:numPr>
          <w:ilvl w:val="0"/>
          <w:numId w:val="11"/>
        </w:numPr>
        <w:shd w:val="clear" w:color="auto" w:fill="FFFFFF"/>
        <w:spacing w:after="72" w:line="240" w:lineRule="auto"/>
        <w:rPr>
          <w:rFonts w:ascii="Calibri" w:eastAsia="Times New Roman" w:hAnsi="Calibri" w:cs="Calibri"/>
          <w:lang w:val="en-CA" w:eastAsia="en-CA"/>
        </w:rPr>
      </w:pPr>
      <w:r>
        <w:rPr>
          <w:rFonts w:ascii="Calibri" w:eastAsia="Times New Roman" w:hAnsi="Calibri" w:cs="Calibri"/>
          <w:lang w:val="en-CA" w:eastAsia="en-CA"/>
        </w:rPr>
        <w:t xml:space="preserve"> </w:t>
      </w:r>
      <w:r w:rsidR="00256960" w:rsidRPr="00256960">
        <w:rPr>
          <w:rFonts w:ascii="Calibri" w:eastAsia="Times New Roman" w:hAnsi="Calibri" w:cs="Calibri"/>
          <w:lang w:val="en-CA" w:eastAsia="en-CA"/>
        </w:rPr>
        <w:t>Humanities</w:t>
      </w:r>
    </w:p>
    <w:p w14:paraId="515EA633" w14:textId="77777777" w:rsidR="00256960" w:rsidRPr="00256960" w:rsidRDefault="00256960" w:rsidP="00256960">
      <w:pPr>
        <w:numPr>
          <w:ilvl w:val="0"/>
          <w:numId w:val="11"/>
        </w:numPr>
        <w:shd w:val="clear" w:color="auto" w:fill="FFFFFF"/>
        <w:spacing w:after="72" w:line="240" w:lineRule="auto"/>
        <w:rPr>
          <w:rFonts w:ascii="Calibri" w:eastAsia="Times New Roman" w:hAnsi="Calibri" w:cs="Calibri"/>
          <w:lang w:val="en-CA" w:eastAsia="en-CA"/>
        </w:rPr>
      </w:pPr>
      <w:r w:rsidRPr="00256960">
        <w:rPr>
          <w:rFonts w:ascii="Calibri" w:eastAsia="Times New Roman" w:hAnsi="Calibri" w:cs="Calibri"/>
          <w:lang w:val="en-CA" w:eastAsia="en-CA"/>
        </w:rPr>
        <w:t>Social Science</w:t>
      </w:r>
    </w:p>
    <w:p w14:paraId="371AC759" w14:textId="77777777" w:rsidR="00256960" w:rsidRPr="00256960" w:rsidRDefault="00256960" w:rsidP="00256960">
      <w:pPr>
        <w:numPr>
          <w:ilvl w:val="0"/>
          <w:numId w:val="11"/>
        </w:numPr>
        <w:shd w:val="clear" w:color="auto" w:fill="FFFFFF"/>
        <w:spacing w:after="72" w:line="240" w:lineRule="auto"/>
        <w:rPr>
          <w:rFonts w:ascii="Calibri" w:eastAsia="Times New Roman" w:hAnsi="Calibri" w:cs="Calibri"/>
          <w:lang w:val="en-CA" w:eastAsia="en-CA"/>
        </w:rPr>
      </w:pPr>
      <w:r w:rsidRPr="00256960">
        <w:rPr>
          <w:rFonts w:ascii="Calibri" w:eastAsia="Times New Roman" w:hAnsi="Calibri" w:cs="Calibri"/>
          <w:lang w:val="en-CA" w:eastAsia="en-CA"/>
        </w:rPr>
        <w:t>Science</w:t>
      </w:r>
    </w:p>
    <w:p w14:paraId="195E6C7D" w14:textId="77777777" w:rsidR="00256960" w:rsidRPr="00256960" w:rsidRDefault="00256960" w:rsidP="00256960">
      <w:pPr>
        <w:numPr>
          <w:ilvl w:val="0"/>
          <w:numId w:val="11"/>
        </w:numPr>
        <w:shd w:val="clear" w:color="auto" w:fill="FFFFFF"/>
        <w:spacing w:after="72" w:line="240" w:lineRule="auto"/>
        <w:rPr>
          <w:rFonts w:ascii="Calibri" w:eastAsia="Times New Roman" w:hAnsi="Calibri" w:cs="Calibri"/>
          <w:lang w:val="en-CA" w:eastAsia="en-CA"/>
        </w:rPr>
      </w:pPr>
      <w:r w:rsidRPr="00256960">
        <w:rPr>
          <w:rFonts w:ascii="Calibri" w:eastAsia="Times New Roman" w:hAnsi="Calibri" w:cs="Calibri"/>
          <w:lang w:val="en-CA" w:eastAsia="en-CA"/>
        </w:rPr>
        <w:t>Nursing</w:t>
      </w:r>
    </w:p>
    <w:p w14:paraId="5674B201" w14:textId="77777777" w:rsidR="00256960" w:rsidRPr="00256960" w:rsidRDefault="00256960" w:rsidP="00256960">
      <w:pPr>
        <w:numPr>
          <w:ilvl w:val="0"/>
          <w:numId w:val="11"/>
        </w:numPr>
        <w:shd w:val="clear" w:color="auto" w:fill="FFFFFF"/>
        <w:spacing w:after="72" w:line="240" w:lineRule="auto"/>
        <w:rPr>
          <w:rFonts w:ascii="Calibri" w:eastAsia="Times New Roman" w:hAnsi="Calibri" w:cs="Calibri"/>
          <w:lang w:val="en-CA" w:eastAsia="en-CA"/>
        </w:rPr>
      </w:pPr>
      <w:r w:rsidRPr="00256960">
        <w:rPr>
          <w:rFonts w:ascii="Calibri" w:eastAsia="Times New Roman" w:hAnsi="Calibri" w:cs="Calibri"/>
          <w:lang w:val="en-CA" w:eastAsia="en-CA"/>
        </w:rPr>
        <w:t>Education</w:t>
      </w:r>
    </w:p>
    <w:p w14:paraId="55DDABDA" w14:textId="77777777" w:rsidR="00256960" w:rsidRPr="00256960" w:rsidRDefault="00256960" w:rsidP="00256960">
      <w:pPr>
        <w:numPr>
          <w:ilvl w:val="0"/>
          <w:numId w:val="11"/>
        </w:numPr>
        <w:shd w:val="clear" w:color="auto" w:fill="FFFFFF"/>
        <w:spacing w:after="72" w:line="240" w:lineRule="auto"/>
        <w:rPr>
          <w:rFonts w:ascii="Calibri" w:eastAsia="Times New Roman" w:hAnsi="Calibri" w:cs="Calibri"/>
          <w:lang w:val="en-CA" w:eastAsia="en-CA"/>
        </w:rPr>
      </w:pPr>
      <w:r w:rsidRPr="00256960">
        <w:rPr>
          <w:rFonts w:ascii="Calibri" w:eastAsia="Times New Roman" w:hAnsi="Calibri" w:cs="Calibri"/>
          <w:lang w:val="en-CA" w:eastAsia="en-CA"/>
        </w:rPr>
        <w:t>Study of the Environment</w:t>
      </w:r>
    </w:p>
    <w:p w14:paraId="34169BB8" w14:textId="77777777" w:rsidR="00256960" w:rsidRPr="00256960" w:rsidRDefault="00256960" w:rsidP="00256960">
      <w:pPr>
        <w:numPr>
          <w:ilvl w:val="0"/>
          <w:numId w:val="11"/>
        </w:numPr>
        <w:shd w:val="clear" w:color="auto" w:fill="FFFFFF"/>
        <w:spacing w:after="72" w:line="240" w:lineRule="auto"/>
        <w:rPr>
          <w:rFonts w:ascii="Calibri" w:eastAsia="Times New Roman" w:hAnsi="Calibri" w:cs="Calibri"/>
          <w:lang w:val="en-CA" w:eastAsia="en-CA"/>
        </w:rPr>
      </w:pPr>
      <w:r w:rsidRPr="00256960">
        <w:rPr>
          <w:rFonts w:ascii="Calibri" w:eastAsia="Times New Roman" w:hAnsi="Calibri" w:cs="Calibri"/>
          <w:lang w:val="en-CA" w:eastAsia="en-CA"/>
        </w:rPr>
        <w:t>Study of Canada</w:t>
      </w:r>
    </w:p>
    <w:p w14:paraId="6260AD4B" w14:textId="77777777" w:rsidR="00256960" w:rsidRPr="00256960" w:rsidRDefault="00256960" w:rsidP="00256960">
      <w:pPr>
        <w:numPr>
          <w:ilvl w:val="0"/>
          <w:numId w:val="11"/>
        </w:numPr>
        <w:shd w:val="clear" w:color="auto" w:fill="FFFFFF"/>
        <w:spacing w:after="72" w:line="240" w:lineRule="auto"/>
        <w:rPr>
          <w:rFonts w:ascii="Calibri" w:eastAsia="Times New Roman" w:hAnsi="Calibri" w:cs="Calibri"/>
          <w:lang w:val="en-CA" w:eastAsia="en-CA"/>
        </w:rPr>
      </w:pPr>
      <w:r w:rsidRPr="00256960">
        <w:rPr>
          <w:rFonts w:ascii="Calibri" w:eastAsia="Times New Roman" w:hAnsi="Calibri" w:cs="Calibri"/>
          <w:lang w:val="en-CA" w:eastAsia="en-CA"/>
        </w:rPr>
        <w:t>Indigenous Studies</w:t>
      </w:r>
    </w:p>
    <w:p w14:paraId="31E51314" w14:textId="77777777" w:rsidR="00B94A80" w:rsidRPr="00256960" w:rsidRDefault="00256960" w:rsidP="00256960">
      <w:pPr>
        <w:numPr>
          <w:ilvl w:val="0"/>
          <w:numId w:val="11"/>
        </w:numPr>
        <w:shd w:val="clear" w:color="auto" w:fill="FFFFFF"/>
        <w:spacing w:after="72" w:line="240" w:lineRule="auto"/>
        <w:rPr>
          <w:rFonts w:ascii="Calibri" w:eastAsia="Times New Roman" w:hAnsi="Calibri" w:cs="Calibri"/>
          <w:lang w:val="en-CA" w:eastAsia="en-CA"/>
        </w:rPr>
      </w:pPr>
      <w:r w:rsidRPr="00256960">
        <w:rPr>
          <w:rFonts w:ascii="Calibri" w:eastAsia="Times New Roman" w:hAnsi="Calibri" w:cs="Calibri"/>
          <w:lang w:val="en-CA" w:eastAsia="en-CA"/>
        </w:rPr>
        <w:t>Business</w:t>
      </w:r>
    </w:p>
    <w:p w14:paraId="3C19B145" w14:textId="77777777" w:rsidR="000E54B0" w:rsidRPr="000E54B0" w:rsidRDefault="000E54B0" w:rsidP="000E54B0">
      <w:pPr>
        <w:shd w:val="clear" w:color="auto" w:fill="FFFFFF"/>
        <w:spacing w:after="72" w:line="240" w:lineRule="auto"/>
        <w:rPr>
          <w:rFonts w:ascii="Calibri" w:eastAsia="Times New Roman" w:hAnsi="Calibri" w:cs="Calibri"/>
          <w:lang w:val="en-CA" w:eastAsia="en-CA"/>
        </w:rPr>
      </w:pPr>
    </w:p>
    <w:p w14:paraId="40B27716" w14:textId="77777777" w:rsidR="00B94A80" w:rsidRPr="003C4EBC" w:rsidRDefault="00B94A80" w:rsidP="00B94A80">
      <w:pPr>
        <w:rPr>
          <w:rFonts w:ascii="Calibri" w:hAnsi="Calibri" w:cs="Calibri"/>
        </w:rPr>
      </w:pPr>
      <w:r w:rsidRPr="003C4EBC">
        <w:rPr>
          <w:rFonts w:ascii="Calibri" w:hAnsi="Calibri" w:cs="Calibri"/>
        </w:rPr>
        <w:t>The proposed areas of program strength are intended to inform program approval processes</w:t>
      </w:r>
      <w:r w:rsidR="00FB55C9" w:rsidRPr="003C4EBC">
        <w:rPr>
          <w:rFonts w:ascii="Calibri" w:hAnsi="Calibri" w:cs="Calibri"/>
        </w:rPr>
        <w:t>.</w:t>
      </w:r>
      <w:r w:rsidRPr="003C4EBC">
        <w:rPr>
          <w:rFonts w:ascii="Calibri" w:hAnsi="Calibri" w:cs="Calibri"/>
        </w:rPr>
        <w:t xml:space="preserve"> </w:t>
      </w:r>
    </w:p>
    <w:p w14:paraId="198F6AB9" w14:textId="77777777" w:rsidR="00B94A80" w:rsidRPr="002F4435" w:rsidRDefault="00B94A80" w:rsidP="004C214D">
      <w:pPr>
        <w:pStyle w:val="Heading2"/>
        <w:rPr>
          <w:rFonts w:cs="Calibri"/>
        </w:rPr>
      </w:pPr>
      <w:r w:rsidRPr="002F4435">
        <w:rPr>
          <w:rFonts w:cs="Calibri"/>
        </w:rPr>
        <w:t xml:space="preserve">Program Areas of </w:t>
      </w:r>
      <w:r w:rsidR="004C214D" w:rsidRPr="002F4435">
        <w:rPr>
          <w:rFonts w:cs="Calibri"/>
        </w:rPr>
        <w:t>Expansion</w:t>
      </w:r>
      <w:r w:rsidRPr="002F4435">
        <w:rPr>
          <w:rFonts w:cs="Calibri"/>
        </w:rPr>
        <w:t xml:space="preserve"> </w:t>
      </w:r>
    </w:p>
    <w:p w14:paraId="2DFE0BFB" w14:textId="77777777" w:rsidR="00256960" w:rsidRPr="00256960" w:rsidRDefault="00FA73E3" w:rsidP="00256960">
      <w:pPr>
        <w:numPr>
          <w:ilvl w:val="0"/>
          <w:numId w:val="12"/>
        </w:numPr>
        <w:shd w:val="clear" w:color="auto" w:fill="FFFFFF"/>
        <w:spacing w:after="72" w:line="240" w:lineRule="auto"/>
        <w:rPr>
          <w:rFonts w:ascii="Calibri" w:eastAsia="Times New Roman" w:hAnsi="Calibri" w:cs="Calibri"/>
          <w:lang w:val="en-CA" w:eastAsia="en-CA"/>
        </w:rPr>
      </w:pPr>
      <w:r>
        <w:rPr>
          <w:rFonts w:ascii="Calibri" w:eastAsia="Times New Roman" w:hAnsi="Calibri" w:cs="Calibri"/>
          <w:lang w:val="en-CA" w:eastAsia="en-CA"/>
        </w:rPr>
        <w:t xml:space="preserve"> </w:t>
      </w:r>
      <w:r w:rsidR="00256960" w:rsidRPr="00256960">
        <w:rPr>
          <w:rFonts w:ascii="Calibri" w:eastAsia="Times New Roman" w:hAnsi="Calibri" w:cs="Calibri"/>
          <w:lang w:val="en-CA" w:eastAsia="en-CA"/>
        </w:rPr>
        <w:t>The Environment</w:t>
      </w:r>
    </w:p>
    <w:p w14:paraId="061E6EAF" w14:textId="77777777" w:rsidR="00256960" w:rsidRPr="00256960" w:rsidRDefault="00256960" w:rsidP="00256960">
      <w:pPr>
        <w:numPr>
          <w:ilvl w:val="0"/>
          <w:numId w:val="12"/>
        </w:numPr>
        <w:shd w:val="clear" w:color="auto" w:fill="FFFFFF"/>
        <w:spacing w:after="72" w:line="240" w:lineRule="auto"/>
        <w:rPr>
          <w:rFonts w:ascii="Calibri" w:eastAsia="Times New Roman" w:hAnsi="Calibri" w:cs="Calibri"/>
          <w:lang w:val="en-CA" w:eastAsia="en-CA"/>
        </w:rPr>
      </w:pPr>
      <w:r w:rsidRPr="00256960">
        <w:rPr>
          <w:rFonts w:ascii="Calibri" w:eastAsia="Times New Roman" w:hAnsi="Calibri" w:cs="Calibri"/>
          <w:lang w:val="en-CA" w:eastAsia="en-CA"/>
        </w:rPr>
        <w:t>Interdisciplinary Sciences, Humanities &amp; Social Sciences</w:t>
      </w:r>
    </w:p>
    <w:p w14:paraId="5888E286" w14:textId="77777777" w:rsidR="00256960" w:rsidRPr="00256960" w:rsidRDefault="00256960" w:rsidP="00256960">
      <w:pPr>
        <w:numPr>
          <w:ilvl w:val="0"/>
          <w:numId w:val="12"/>
        </w:numPr>
        <w:shd w:val="clear" w:color="auto" w:fill="FFFFFF"/>
        <w:spacing w:after="72" w:line="240" w:lineRule="auto"/>
        <w:rPr>
          <w:rFonts w:ascii="Calibri" w:eastAsia="Times New Roman" w:hAnsi="Calibri" w:cs="Calibri"/>
          <w:lang w:val="en-CA" w:eastAsia="en-CA"/>
        </w:rPr>
      </w:pPr>
      <w:r w:rsidRPr="00256960">
        <w:rPr>
          <w:rFonts w:ascii="Calibri" w:eastAsia="Times New Roman" w:hAnsi="Calibri" w:cs="Calibri"/>
          <w:lang w:val="en-CA" w:eastAsia="en-CA"/>
        </w:rPr>
        <w:t>Indigenous Studies &amp; The Study of Canada</w:t>
      </w:r>
    </w:p>
    <w:p w14:paraId="16671C4D" w14:textId="77777777" w:rsidR="00256960" w:rsidRPr="00256960" w:rsidRDefault="00256960" w:rsidP="00256960">
      <w:pPr>
        <w:numPr>
          <w:ilvl w:val="0"/>
          <w:numId w:val="12"/>
        </w:numPr>
        <w:shd w:val="clear" w:color="auto" w:fill="FFFFFF"/>
        <w:spacing w:after="72" w:line="240" w:lineRule="auto"/>
        <w:rPr>
          <w:rFonts w:ascii="Calibri" w:eastAsia="Times New Roman" w:hAnsi="Calibri" w:cs="Calibri"/>
          <w:lang w:val="en-CA" w:eastAsia="en-CA"/>
        </w:rPr>
      </w:pPr>
      <w:r w:rsidRPr="00256960">
        <w:rPr>
          <w:rFonts w:ascii="Calibri" w:eastAsia="Times New Roman" w:hAnsi="Calibri" w:cs="Calibri"/>
          <w:lang w:val="en-CA" w:eastAsia="en-CA"/>
        </w:rPr>
        <w:t>Social Justice and Global Development</w:t>
      </w:r>
    </w:p>
    <w:p w14:paraId="0CB585DA" w14:textId="77777777" w:rsidR="00080D73" w:rsidRPr="00256960" w:rsidRDefault="00256960" w:rsidP="00080D73">
      <w:pPr>
        <w:numPr>
          <w:ilvl w:val="0"/>
          <w:numId w:val="12"/>
        </w:numPr>
        <w:shd w:val="clear" w:color="auto" w:fill="FFFFFF"/>
        <w:spacing w:after="72" w:line="240" w:lineRule="auto"/>
        <w:rPr>
          <w:rFonts w:ascii="Calibri" w:eastAsia="Times New Roman" w:hAnsi="Calibri" w:cs="Calibri"/>
          <w:szCs w:val="24"/>
          <w:lang w:val="en-CA" w:eastAsia="en-CA"/>
        </w:rPr>
      </w:pPr>
      <w:r w:rsidRPr="00256960">
        <w:rPr>
          <w:rFonts w:ascii="Calibri" w:eastAsia="Times New Roman" w:hAnsi="Calibri" w:cs="Calibri"/>
          <w:lang w:val="en-CA" w:eastAsia="en-CA"/>
        </w:rPr>
        <w:t>Health, Culture and Society</w:t>
      </w:r>
    </w:p>
    <w:p w14:paraId="6BA34BC7" w14:textId="77777777" w:rsidR="00101282" w:rsidRDefault="00101282" w:rsidP="00ED423E">
      <w:pPr>
        <w:pStyle w:val="Heading1"/>
      </w:pPr>
    </w:p>
    <w:p w14:paraId="729EF1EE" w14:textId="77777777" w:rsidR="00101282" w:rsidRDefault="00101282" w:rsidP="00ED423E">
      <w:pPr>
        <w:pStyle w:val="Heading1"/>
      </w:pPr>
    </w:p>
    <w:p w14:paraId="56B4253B" w14:textId="77777777" w:rsidR="00101282" w:rsidRDefault="00101282" w:rsidP="00ED423E">
      <w:pPr>
        <w:pStyle w:val="Heading1"/>
      </w:pPr>
    </w:p>
    <w:p w14:paraId="58052651" w14:textId="77777777" w:rsidR="00101282" w:rsidRDefault="00101282" w:rsidP="00ED423E">
      <w:pPr>
        <w:pStyle w:val="Heading1"/>
      </w:pPr>
    </w:p>
    <w:p w14:paraId="589BE21E" w14:textId="77777777" w:rsidR="00101282" w:rsidRDefault="00101282" w:rsidP="00ED423E">
      <w:pPr>
        <w:pStyle w:val="Heading1"/>
      </w:pPr>
    </w:p>
    <w:p w14:paraId="6F3E79EE" w14:textId="77777777" w:rsidR="00101282" w:rsidRDefault="00101282" w:rsidP="00ED423E">
      <w:pPr>
        <w:pStyle w:val="Heading1"/>
      </w:pPr>
    </w:p>
    <w:p w14:paraId="4AD881EB" w14:textId="77777777" w:rsidR="00101282" w:rsidRDefault="00101282" w:rsidP="00ED423E">
      <w:pPr>
        <w:pStyle w:val="Heading1"/>
      </w:pPr>
    </w:p>
    <w:p w14:paraId="6EFCE1C5" w14:textId="77777777" w:rsidR="00101282" w:rsidRDefault="00101282" w:rsidP="00ED423E">
      <w:pPr>
        <w:pStyle w:val="Heading1"/>
      </w:pPr>
    </w:p>
    <w:p w14:paraId="766E34C1" w14:textId="77777777" w:rsidR="00101282" w:rsidRDefault="00101282" w:rsidP="00ED423E">
      <w:pPr>
        <w:pStyle w:val="Heading1"/>
      </w:pPr>
    </w:p>
    <w:p w14:paraId="7CEAC96B" w14:textId="77777777" w:rsidR="00101282" w:rsidRDefault="00101282" w:rsidP="00ED423E">
      <w:pPr>
        <w:pStyle w:val="Heading1"/>
      </w:pPr>
    </w:p>
    <w:p w14:paraId="563E1112" w14:textId="77777777" w:rsidR="00101282" w:rsidRDefault="00101282" w:rsidP="00ED423E">
      <w:pPr>
        <w:pStyle w:val="Heading1"/>
      </w:pPr>
    </w:p>
    <w:p w14:paraId="2621BB7A" w14:textId="77777777" w:rsidR="00101282" w:rsidRDefault="00101282" w:rsidP="00ED423E">
      <w:pPr>
        <w:pStyle w:val="Heading1"/>
      </w:pPr>
    </w:p>
    <w:p w14:paraId="77220C49" w14:textId="77777777" w:rsidR="00101282" w:rsidRDefault="00101282" w:rsidP="00ED423E">
      <w:pPr>
        <w:pStyle w:val="Heading1"/>
      </w:pPr>
    </w:p>
    <w:p w14:paraId="703E4BF8" w14:textId="77777777" w:rsidR="00101282" w:rsidRDefault="00101282" w:rsidP="00ED423E">
      <w:pPr>
        <w:pStyle w:val="Heading1"/>
      </w:pPr>
    </w:p>
    <w:p w14:paraId="20F56840" w14:textId="77777777" w:rsidR="00101282" w:rsidRDefault="00101282" w:rsidP="00ED423E">
      <w:pPr>
        <w:pStyle w:val="Heading1"/>
      </w:pPr>
    </w:p>
    <w:p w14:paraId="2ADCA170" w14:textId="77777777" w:rsidR="00E605D9" w:rsidRDefault="00E605D9" w:rsidP="00ED423E">
      <w:pPr>
        <w:pStyle w:val="Heading1"/>
      </w:pPr>
      <w:r w:rsidRPr="000A37CC">
        <w:t xml:space="preserve">Financial Sustainability </w:t>
      </w:r>
      <w:r w:rsidR="001F4BAD" w:rsidRPr="000A37CC">
        <w:t xml:space="preserve"> </w:t>
      </w:r>
    </w:p>
    <w:p w14:paraId="0D96C229" w14:textId="77777777" w:rsidR="00101282" w:rsidRPr="00101282" w:rsidRDefault="00101282" w:rsidP="00101282"/>
    <w:p w14:paraId="6D2A03BA" w14:textId="77777777" w:rsidR="00F81145" w:rsidRPr="00101282" w:rsidRDefault="00F81145" w:rsidP="004C214D">
      <w:pPr>
        <w:rPr>
          <w:i/>
          <w:lang w:eastAsia="en-CA"/>
        </w:rPr>
      </w:pPr>
      <w:r w:rsidRPr="00101282">
        <w:rPr>
          <w:i/>
          <w:lang w:eastAsia="en-CA"/>
        </w:rPr>
        <w:t>The Ministry and the University recognize that financial sustainability and accountability are critical to achieving institutional mandates and realizing Ontario’s vision for the postsecondary education system. To this end, it is agreed that:</w:t>
      </w:r>
    </w:p>
    <w:p w14:paraId="7FDDDFB1" w14:textId="77777777" w:rsidR="00F81145" w:rsidRPr="00101282" w:rsidRDefault="00F81145" w:rsidP="004C214D">
      <w:pPr>
        <w:rPr>
          <w:i/>
          <w:lang w:eastAsia="en-CA"/>
        </w:rPr>
      </w:pPr>
      <w:r w:rsidRPr="00101282">
        <w:rPr>
          <w:i/>
          <w:lang w:eastAsia="en-CA"/>
        </w:rPr>
        <w:t xml:space="preserve">It is the responsibility of the governing board and </w:t>
      </w:r>
      <w:r w:rsidR="00C65C38" w:rsidRPr="00101282">
        <w:rPr>
          <w:i/>
          <w:lang w:eastAsia="en-CA"/>
        </w:rPr>
        <w:t>s</w:t>
      </w:r>
      <w:r w:rsidRPr="00101282">
        <w:rPr>
          <w:i/>
          <w:lang w:eastAsia="en-CA"/>
        </w:rPr>
        <w:t xml:space="preserve">enior </w:t>
      </w:r>
      <w:r w:rsidR="00C65C38" w:rsidRPr="00101282">
        <w:rPr>
          <w:i/>
          <w:lang w:eastAsia="en-CA"/>
        </w:rPr>
        <w:t>a</w:t>
      </w:r>
      <w:r w:rsidRPr="00101282">
        <w:rPr>
          <w:i/>
          <w:lang w:eastAsia="en-CA"/>
        </w:rPr>
        <w:t>dministrators of the University to identify, track, and address financial pressures and sustainability issues. At the same time, the Ministry has a financial stewardship role. The Ministry and the University agree to work collaboratively to achieve the common goal of financial sustainability and to ensure that Ontarians have access to a full range of affordable, high-quality postsecondary education options, now and in the future</w:t>
      </w:r>
      <w:r w:rsidR="004E2061" w:rsidRPr="00101282">
        <w:rPr>
          <w:i/>
          <w:lang w:eastAsia="en-CA"/>
        </w:rPr>
        <w:t>.</w:t>
      </w:r>
    </w:p>
    <w:p w14:paraId="7DDB8381" w14:textId="77777777" w:rsidR="00BA1AD1" w:rsidRPr="00101282" w:rsidRDefault="00F81145" w:rsidP="004C214D">
      <w:pPr>
        <w:rPr>
          <w:i/>
          <w:lang w:eastAsia="en-CA"/>
        </w:rPr>
      </w:pPr>
      <w:r w:rsidRPr="00101282">
        <w:rPr>
          <w:i/>
          <w:lang w:eastAsia="en-CA"/>
        </w:rPr>
        <w:t>The University remains accountable to the Ministry with respect to effective and efficient use of provincial government resources and student resources covered by policy directives of the Ministry, or decisions impacting upon these, to maximize the value and impact of investments made in the postsecondary education system.</w:t>
      </w:r>
    </w:p>
    <w:p w14:paraId="6950F5F4" w14:textId="77777777" w:rsidR="00BF1339" w:rsidRPr="002F4435" w:rsidRDefault="00BF1339" w:rsidP="004C214D">
      <w:pPr>
        <w:rPr>
          <w:lang w:eastAsia="en-CA"/>
        </w:rPr>
      </w:pPr>
    </w:p>
    <w:tbl>
      <w:tblPr>
        <w:tblStyle w:val="TableGrid"/>
        <w:tblW w:w="0" w:type="auto"/>
        <w:tblLook w:val="04A0" w:firstRow="1" w:lastRow="0" w:firstColumn="1" w:lastColumn="0" w:noHBand="0" w:noVBand="1"/>
      </w:tblPr>
      <w:tblGrid>
        <w:gridCol w:w="4928"/>
        <w:gridCol w:w="5103"/>
      </w:tblGrid>
      <w:tr w:rsidR="00101282" w:rsidRPr="003508C9" w14:paraId="3B3B3C7D" w14:textId="77777777" w:rsidTr="00101282">
        <w:tc>
          <w:tcPr>
            <w:tcW w:w="4928" w:type="dxa"/>
          </w:tcPr>
          <w:p w14:paraId="61F888DA" w14:textId="002B0621" w:rsidR="00101282" w:rsidRPr="003508C9" w:rsidRDefault="00101282" w:rsidP="00316574">
            <w:pPr>
              <w:rPr>
                <w:rFonts w:ascii="Calibri" w:hAnsi="Calibri" w:cs="Calibri"/>
                <w:b/>
                <w:sz w:val="24"/>
                <w:szCs w:val="24"/>
              </w:rPr>
            </w:pPr>
            <w:r w:rsidRPr="003508C9">
              <w:rPr>
                <w:rFonts w:ascii="Calibri" w:hAnsi="Calibri" w:cs="Calibri"/>
                <w:b/>
                <w:sz w:val="24"/>
                <w:szCs w:val="24"/>
              </w:rPr>
              <w:t>System-w</w:t>
            </w:r>
            <w:r>
              <w:rPr>
                <w:rFonts w:ascii="Calibri" w:hAnsi="Calibri" w:cs="Calibri"/>
                <w:b/>
                <w:sz w:val="24"/>
                <w:szCs w:val="24"/>
              </w:rPr>
              <w:t>ide Metrics</w:t>
            </w:r>
          </w:p>
        </w:tc>
        <w:tc>
          <w:tcPr>
            <w:tcW w:w="5103" w:type="dxa"/>
            <w:shd w:val="clear" w:color="auto" w:fill="auto"/>
          </w:tcPr>
          <w:p w14:paraId="16A6ECAA" w14:textId="171D5BAA" w:rsidR="00101282" w:rsidRPr="003C6CAE" w:rsidRDefault="00101282" w:rsidP="00316574">
            <w:pPr>
              <w:rPr>
                <w:rFonts w:ascii="Calibri" w:hAnsi="Calibri" w:cs="Calibri"/>
                <w:b/>
                <w:sz w:val="24"/>
                <w:szCs w:val="24"/>
              </w:rPr>
            </w:pPr>
            <w:r>
              <w:rPr>
                <w:rFonts w:ascii="Calibri" w:hAnsi="Calibri" w:cs="Calibri"/>
                <w:b/>
                <w:sz w:val="24"/>
                <w:szCs w:val="24"/>
              </w:rPr>
              <w:t>2015-16 Actuals</w:t>
            </w:r>
          </w:p>
        </w:tc>
      </w:tr>
      <w:tr w:rsidR="00101282" w14:paraId="36F90588" w14:textId="77777777" w:rsidTr="00101282">
        <w:trPr>
          <w:trHeight w:val="341"/>
        </w:trPr>
        <w:tc>
          <w:tcPr>
            <w:tcW w:w="4928" w:type="dxa"/>
          </w:tcPr>
          <w:p w14:paraId="6A8C53C3" w14:textId="77777777" w:rsidR="00101282" w:rsidRPr="000E54B0" w:rsidRDefault="00101282" w:rsidP="00316574">
            <w:pPr>
              <w:pStyle w:val="Tablebullet"/>
              <w:tabs>
                <w:tab w:val="clear" w:pos="432"/>
                <w:tab w:val="left" w:pos="298"/>
              </w:tabs>
              <w:spacing w:before="41" w:after="41"/>
              <w:ind w:left="310" w:hanging="310"/>
              <w:rPr>
                <w:rFonts w:asciiTheme="minorHAnsi" w:hAnsiTheme="minorHAnsi"/>
                <w:sz w:val="20"/>
                <w:szCs w:val="20"/>
              </w:rPr>
            </w:pPr>
            <w:r w:rsidRPr="000E54B0">
              <w:rPr>
                <w:rFonts w:asciiTheme="minorHAnsi" w:hAnsiTheme="minorHAnsi"/>
                <w:sz w:val="20"/>
                <w:szCs w:val="20"/>
                <w:lang w:val="en-US"/>
              </w:rPr>
              <w:t>Net Income / (Loss) Ratio</w:t>
            </w:r>
          </w:p>
          <w:p w14:paraId="24763D34" w14:textId="77777777" w:rsidR="00101282" w:rsidRPr="000E54B0" w:rsidRDefault="00101282" w:rsidP="00316574">
            <w:pPr>
              <w:pStyle w:val="Tablebullet"/>
              <w:numPr>
                <w:ilvl w:val="0"/>
                <w:numId w:val="0"/>
              </w:numPr>
              <w:tabs>
                <w:tab w:val="clear" w:pos="432"/>
                <w:tab w:val="left" w:pos="298"/>
              </w:tabs>
              <w:spacing w:before="41" w:after="41"/>
              <w:ind w:left="310"/>
              <w:rPr>
                <w:rFonts w:asciiTheme="minorHAnsi" w:hAnsiTheme="minorHAnsi"/>
                <w:sz w:val="20"/>
                <w:szCs w:val="20"/>
              </w:rPr>
            </w:pPr>
          </w:p>
        </w:tc>
        <w:tc>
          <w:tcPr>
            <w:tcW w:w="5103" w:type="dxa"/>
            <w:shd w:val="clear" w:color="auto" w:fill="auto"/>
          </w:tcPr>
          <w:p w14:paraId="6716B3CD" w14:textId="77777777" w:rsidR="00101282" w:rsidRPr="000E54B0" w:rsidRDefault="00101282" w:rsidP="00EC788B">
            <w:pPr>
              <w:spacing w:before="41"/>
              <w:rPr>
                <w:rFonts w:asciiTheme="minorHAnsi" w:hAnsiTheme="minorHAnsi"/>
              </w:rPr>
            </w:pPr>
            <w:r>
              <w:rPr>
                <w:rFonts w:asciiTheme="minorHAnsi" w:hAnsiTheme="minorHAnsi"/>
              </w:rPr>
              <w:t xml:space="preserve"> 6.76%</w:t>
            </w:r>
          </w:p>
        </w:tc>
      </w:tr>
      <w:tr w:rsidR="00101282" w14:paraId="3C3CE2B9" w14:textId="77777777" w:rsidTr="00101282">
        <w:tc>
          <w:tcPr>
            <w:tcW w:w="4928" w:type="dxa"/>
          </w:tcPr>
          <w:p w14:paraId="0A55F22D" w14:textId="77777777" w:rsidR="00101282" w:rsidRPr="000E54B0" w:rsidRDefault="00101282" w:rsidP="00316574">
            <w:pPr>
              <w:pStyle w:val="Tablebullet"/>
              <w:tabs>
                <w:tab w:val="clear" w:pos="432"/>
                <w:tab w:val="left" w:pos="298"/>
              </w:tabs>
              <w:spacing w:before="41" w:after="41"/>
              <w:ind w:left="310" w:hanging="310"/>
              <w:rPr>
                <w:rFonts w:asciiTheme="minorHAnsi" w:hAnsiTheme="minorHAnsi"/>
                <w:sz w:val="20"/>
                <w:szCs w:val="20"/>
              </w:rPr>
            </w:pPr>
            <w:r w:rsidRPr="000E54B0">
              <w:rPr>
                <w:rFonts w:asciiTheme="minorHAnsi" w:hAnsiTheme="minorHAnsi"/>
                <w:sz w:val="20"/>
                <w:szCs w:val="20"/>
                <w:lang w:val="en-US"/>
              </w:rPr>
              <w:t>Net Operating Revenues Ratio</w:t>
            </w:r>
          </w:p>
          <w:p w14:paraId="1E384B91" w14:textId="77777777" w:rsidR="00101282" w:rsidRPr="000E54B0" w:rsidRDefault="00101282" w:rsidP="00316574">
            <w:pPr>
              <w:pStyle w:val="Tablebullet"/>
              <w:numPr>
                <w:ilvl w:val="0"/>
                <w:numId w:val="0"/>
              </w:numPr>
              <w:tabs>
                <w:tab w:val="clear" w:pos="432"/>
                <w:tab w:val="left" w:pos="298"/>
              </w:tabs>
              <w:spacing w:before="41" w:after="41"/>
              <w:ind w:left="310"/>
              <w:rPr>
                <w:rFonts w:asciiTheme="minorHAnsi" w:hAnsiTheme="minorHAnsi"/>
                <w:sz w:val="20"/>
                <w:szCs w:val="20"/>
              </w:rPr>
            </w:pPr>
          </w:p>
        </w:tc>
        <w:tc>
          <w:tcPr>
            <w:tcW w:w="5103" w:type="dxa"/>
            <w:shd w:val="clear" w:color="auto" w:fill="auto"/>
          </w:tcPr>
          <w:p w14:paraId="70B7BB63" w14:textId="77777777" w:rsidR="00101282" w:rsidRPr="000E54B0" w:rsidRDefault="00101282" w:rsidP="00EC788B">
            <w:pPr>
              <w:spacing w:before="41"/>
              <w:rPr>
                <w:rFonts w:asciiTheme="minorHAnsi" w:hAnsiTheme="minorHAnsi"/>
              </w:rPr>
            </w:pPr>
            <w:r>
              <w:rPr>
                <w:rFonts w:asciiTheme="minorHAnsi" w:hAnsiTheme="minorHAnsi"/>
              </w:rPr>
              <w:t xml:space="preserve"> 4.21%</w:t>
            </w:r>
          </w:p>
        </w:tc>
      </w:tr>
      <w:tr w:rsidR="00101282" w14:paraId="4F92C212" w14:textId="77777777" w:rsidTr="00101282">
        <w:tc>
          <w:tcPr>
            <w:tcW w:w="4928" w:type="dxa"/>
          </w:tcPr>
          <w:p w14:paraId="06D29BE4" w14:textId="77777777" w:rsidR="00101282" w:rsidRPr="000E54B0" w:rsidRDefault="00101282" w:rsidP="00316574">
            <w:pPr>
              <w:pStyle w:val="Tablebullet"/>
              <w:tabs>
                <w:tab w:val="clear" w:pos="432"/>
                <w:tab w:val="left" w:pos="298"/>
              </w:tabs>
              <w:spacing w:before="41" w:after="41"/>
              <w:ind w:left="310" w:hanging="310"/>
              <w:rPr>
                <w:rFonts w:asciiTheme="minorHAnsi" w:hAnsiTheme="minorHAnsi"/>
                <w:sz w:val="20"/>
                <w:szCs w:val="20"/>
              </w:rPr>
            </w:pPr>
            <w:r w:rsidRPr="000E54B0">
              <w:rPr>
                <w:rFonts w:asciiTheme="minorHAnsi" w:hAnsiTheme="minorHAnsi"/>
                <w:sz w:val="20"/>
                <w:szCs w:val="20"/>
                <w:lang w:val="en-US"/>
              </w:rPr>
              <w:t>Primary Reserve Ratio</w:t>
            </w:r>
          </w:p>
          <w:p w14:paraId="58B334A5" w14:textId="77777777" w:rsidR="00101282" w:rsidRPr="000E54B0" w:rsidRDefault="00101282" w:rsidP="00316574">
            <w:pPr>
              <w:pStyle w:val="Tablebullet"/>
              <w:numPr>
                <w:ilvl w:val="0"/>
                <w:numId w:val="0"/>
              </w:numPr>
              <w:tabs>
                <w:tab w:val="clear" w:pos="432"/>
                <w:tab w:val="left" w:pos="298"/>
              </w:tabs>
              <w:spacing w:before="41" w:after="41"/>
              <w:ind w:left="310"/>
              <w:rPr>
                <w:rFonts w:asciiTheme="minorHAnsi" w:hAnsiTheme="minorHAnsi"/>
                <w:sz w:val="20"/>
                <w:szCs w:val="20"/>
              </w:rPr>
            </w:pPr>
          </w:p>
        </w:tc>
        <w:tc>
          <w:tcPr>
            <w:tcW w:w="5103" w:type="dxa"/>
            <w:shd w:val="clear" w:color="auto" w:fill="auto"/>
          </w:tcPr>
          <w:p w14:paraId="6DF78E55" w14:textId="77777777" w:rsidR="00101282" w:rsidRPr="000E54B0" w:rsidRDefault="00101282" w:rsidP="00EC788B">
            <w:pPr>
              <w:spacing w:before="41"/>
              <w:rPr>
                <w:rFonts w:asciiTheme="minorHAnsi" w:hAnsiTheme="minorHAnsi"/>
              </w:rPr>
            </w:pPr>
            <w:r>
              <w:rPr>
                <w:rFonts w:asciiTheme="minorHAnsi" w:hAnsiTheme="minorHAnsi"/>
              </w:rPr>
              <w:t xml:space="preserve"> 42 days</w:t>
            </w:r>
          </w:p>
        </w:tc>
      </w:tr>
      <w:tr w:rsidR="00101282" w14:paraId="33084D93" w14:textId="77777777" w:rsidTr="00101282">
        <w:tc>
          <w:tcPr>
            <w:tcW w:w="4928" w:type="dxa"/>
          </w:tcPr>
          <w:p w14:paraId="4C2BFF69" w14:textId="77777777" w:rsidR="00101282" w:rsidRPr="000E54B0" w:rsidRDefault="00101282" w:rsidP="00316574">
            <w:pPr>
              <w:pStyle w:val="Tablebullet"/>
              <w:tabs>
                <w:tab w:val="clear" w:pos="432"/>
                <w:tab w:val="left" w:pos="298"/>
              </w:tabs>
              <w:spacing w:before="41" w:after="41"/>
              <w:ind w:left="310" w:hanging="310"/>
              <w:rPr>
                <w:rFonts w:asciiTheme="minorHAnsi" w:hAnsiTheme="minorHAnsi"/>
                <w:sz w:val="20"/>
                <w:szCs w:val="20"/>
              </w:rPr>
            </w:pPr>
            <w:r w:rsidRPr="000E54B0">
              <w:rPr>
                <w:rFonts w:asciiTheme="minorHAnsi" w:hAnsiTheme="minorHAnsi"/>
                <w:sz w:val="20"/>
                <w:szCs w:val="20"/>
                <w:lang w:val="en-US"/>
              </w:rPr>
              <w:t>Interest Burden Ratio</w:t>
            </w:r>
          </w:p>
          <w:p w14:paraId="4EF234F0" w14:textId="77777777" w:rsidR="00101282" w:rsidRPr="000E54B0" w:rsidRDefault="00101282" w:rsidP="00316574">
            <w:pPr>
              <w:pStyle w:val="Tablebullet"/>
              <w:numPr>
                <w:ilvl w:val="0"/>
                <w:numId w:val="0"/>
              </w:numPr>
              <w:tabs>
                <w:tab w:val="clear" w:pos="432"/>
                <w:tab w:val="left" w:pos="298"/>
              </w:tabs>
              <w:spacing w:before="41" w:after="41"/>
              <w:ind w:left="310"/>
              <w:rPr>
                <w:rFonts w:asciiTheme="minorHAnsi" w:hAnsiTheme="minorHAnsi"/>
                <w:sz w:val="20"/>
                <w:szCs w:val="20"/>
              </w:rPr>
            </w:pPr>
          </w:p>
        </w:tc>
        <w:tc>
          <w:tcPr>
            <w:tcW w:w="5103" w:type="dxa"/>
            <w:shd w:val="clear" w:color="auto" w:fill="auto"/>
          </w:tcPr>
          <w:p w14:paraId="3CE5B434" w14:textId="77777777" w:rsidR="00101282" w:rsidRPr="000E54B0" w:rsidRDefault="00101282" w:rsidP="00EC788B">
            <w:pPr>
              <w:spacing w:before="41"/>
              <w:rPr>
                <w:rFonts w:asciiTheme="minorHAnsi" w:hAnsiTheme="minorHAnsi"/>
              </w:rPr>
            </w:pPr>
            <w:r>
              <w:rPr>
                <w:rFonts w:asciiTheme="minorHAnsi" w:hAnsiTheme="minorHAnsi"/>
              </w:rPr>
              <w:t xml:space="preserve"> 1.90%</w:t>
            </w:r>
          </w:p>
        </w:tc>
      </w:tr>
      <w:tr w:rsidR="00101282" w14:paraId="2478C1D4" w14:textId="77777777" w:rsidTr="00101282">
        <w:tc>
          <w:tcPr>
            <w:tcW w:w="4928" w:type="dxa"/>
          </w:tcPr>
          <w:p w14:paraId="6094CA81" w14:textId="77777777" w:rsidR="00101282" w:rsidRPr="000E54B0" w:rsidRDefault="00101282" w:rsidP="00316574">
            <w:pPr>
              <w:pStyle w:val="Tablebullet"/>
              <w:tabs>
                <w:tab w:val="clear" w:pos="432"/>
                <w:tab w:val="left" w:pos="298"/>
              </w:tabs>
              <w:spacing w:before="41" w:after="41"/>
              <w:ind w:left="310" w:hanging="310"/>
              <w:rPr>
                <w:rFonts w:asciiTheme="minorHAnsi" w:hAnsiTheme="minorHAnsi"/>
                <w:sz w:val="20"/>
                <w:szCs w:val="20"/>
              </w:rPr>
            </w:pPr>
            <w:r w:rsidRPr="000E54B0">
              <w:rPr>
                <w:rFonts w:asciiTheme="minorHAnsi" w:hAnsiTheme="minorHAnsi"/>
                <w:sz w:val="20"/>
                <w:szCs w:val="20"/>
                <w:lang w:val="en-US"/>
              </w:rPr>
              <w:t>Viability Ratio</w:t>
            </w:r>
          </w:p>
          <w:p w14:paraId="4729A95B" w14:textId="77777777" w:rsidR="00101282" w:rsidRPr="000E54B0" w:rsidRDefault="00101282" w:rsidP="00316574">
            <w:pPr>
              <w:pStyle w:val="Tablebullet"/>
              <w:numPr>
                <w:ilvl w:val="0"/>
                <w:numId w:val="0"/>
              </w:numPr>
              <w:tabs>
                <w:tab w:val="clear" w:pos="432"/>
                <w:tab w:val="left" w:pos="298"/>
              </w:tabs>
              <w:spacing w:before="41" w:after="41"/>
              <w:ind w:left="310"/>
              <w:rPr>
                <w:rFonts w:asciiTheme="minorHAnsi" w:hAnsiTheme="minorHAnsi"/>
                <w:sz w:val="20"/>
                <w:szCs w:val="20"/>
              </w:rPr>
            </w:pPr>
          </w:p>
        </w:tc>
        <w:tc>
          <w:tcPr>
            <w:tcW w:w="5103" w:type="dxa"/>
            <w:shd w:val="clear" w:color="auto" w:fill="auto"/>
          </w:tcPr>
          <w:p w14:paraId="2452D084" w14:textId="77777777" w:rsidR="00101282" w:rsidRPr="000E54B0" w:rsidRDefault="00101282" w:rsidP="00EC788B">
            <w:pPr>
              <w:spacing w:before="41"/>
              <w:rPr>
                <w:rFonts w:asciiTheme="minorHAnsi" w:hAnsiTheme="minorHAnsi"/>
              </w:rPr>
            </w:pPr>
            <w:r>
              <w:rPr>
                <w:rFonts w:asciiTheme="minorHAnsi" w:hAnsiTheme="minorHAnsi"/>
              </w:rPr>
              <w:t xml:space="preserve"> 0.31</w:t>
            </w:r>
          </w:p>
        </w:tc>
      </w:tr>
    </w:tbl>
    <w:p w14:paraId="47B0A60D" w14:textId="77777777" w:rsidR="009C0743" w:rsidRDefault="009C0743" w:rsidP="00101282">
      <w:pPr>
        <w:pStyle w:val="Title"/>
        <w:pBdr>
          <w:bottom w:val="none" w:sz="0" w:space="0" w:color="auto"/>
        </w:pBdr>
        <w:rPr>
          <w:rFonts w:asciiTheme="minorHAnsi" w:hAnsiTheme="minorHAnsi"/>
          <w:i/>
          <w:sz w:val="22"/>
          <w:szCs w:val="22"/>
        </w:rPr>
      </w:pPr>
    </w:p>
    <w:p w14:paraId="01AD1C2C" w14:textId="77777777" w:rsidR="00101282" w:rsidRDefault="00101282" w:rsidP="00101282">
      <w:pPr>
        <w:pStyle w:val="Title"/>
        <w:pBdr>
          <w:bottom w:val="none" w:sz="0" w:space="0" w:color="auto"/>
        </w:pBdr>
      </w:pPr>
    </w:p>
    <w:p w14:paraId="691E6AF2" w14:textId="77777777" w:rsidR="00101282" w:rsidRDefault="00101282" w:rsidP="00101282">
      <w:pPr>
        <w:pStyle w:val="Title"/>
        <w:pBdr>
          <w:bottom w:val="none" w:sz="0" w:space="0" w:color="auto"/>
        </w:pBdr>
      </w:pPr>
    </w:p>
    <w:p w14:paraId="4EF9B123" w14:textId="77777777" w:rsidR="00101282" w:rsidRDefault="00101282" w:rsidP="00101282">
      <w:pPr>
        <w:pStyle w:val="Title"/>
        <w:pBdr>
          <w:bottom w:val="none" w:sz="0" w:space="0" w:color="auto"/>
        </w:pBdr>
      </w:pPr>
    </w:p>
    <w:p w14:paraId="5C0D79C8" w14:textId="77777777" w:rsidR="00101282" w:rsidRDefault="00101282" w:rsidP="00101282">
      <w:pPr>
        <w:pStyle w:val="Title"/>
        <w:pBdr>
          <w:bottom w:val="none" w:sz="0" w:space="0" w:color="auto"/>
        </w:pBdr>
      </w:pPr>
    </w:p>
    <w:p w14:paraId="0C05E758" w14:textId="77777777" w:rsidR="00101282" w:rsidRDefault="00101282" w:rsidP="00101282">
      <w:pPr>
        <w:pStyle w:val="Title"/>
        <w:pBdr>
          <w:bottom w:val="none" w:sz="0" w:space="0" w:color="auto"/>
        </w:pBdr>
      </w:pPr>
    </w:p>
    <w:p w14:paraId="73169ABF" w14:textId="77777777" w:rsidR="008C092A" w:rsidRDefault="00BF1339" w:rsidP="00624223">
      <w:pPr>
        <w:pStyle w:val="Title"/>
      </w:pPr>
      <w:r>
        <w:t xml:space="preserve">7.0 </w:t>
      </w:r>
      <w:r w:rsidR="006966AE">
        <w:t xml:space="preserve">Institutional </w:t>
      </w:r>
      <w:r w:rsidR="008C092A">
        <w:t>C</w:t>
      </w:r>
      <w:r w:rsidR="00F02A6E">
        <w:t>ollaborations and Partnerships</w:t>
      </w:r>
    </w:p>
    <w:p w14:paraId="453B7A10" w14:textId="77777777" w:rsidR="00256960" w:rsidRPr="00256960" w:rsidRDefault="00256960" w:rsidP="00256960">
      <w:pPr>
        <w:rPr>
          <w:b/>
        </w:rPr>
      </w:pPr>
      <w:r w:rsidRPr="00256960">
        <w:rPr>
          <w:b/>
        </w:rPr>
        <w:t>Durham GTA campus</w:t>
      </w:r>
    </w:p>
    <w:p w14:paraId="15C68837" w14:textId="54642731" w:rsidR="00256960" w:rsidRPr="00256960" w:rsidRDefault="00256960" w:rsidP="00256960">
      <w:r w:rsidRPr="00256960">
        <w:t xml:space="preserve">Trent Durham has a </w:t>
      </w:r>
      <w:r w:rsidR="00D11D06" w:rsidRPr="00256960">
        <w:t>well-established</w:t>
      </w:r>
      <w:r w:rsidRPr="00256960">
        <w:t xml:space="preserve"> relationship with Durham College</w:t>
      </w:r>
      <w:r w:rsidR="008300F9">
        <w:t xml:space="preserve"> with a significant number of articulations that welcome students who wish to complete degrees at Trent</w:t>
      </w:r>
      <w:r w:rsidRPr="00256960">
        <w:t xml:space="preserve">. </w:t>
      </w:r>
    </w:p>
    <w:p w14:paraId="7C6455A2" w14:textId="77777777" w:rsidR="00256960" w:rsidRPr="00256960" w:rsidRDefault="00256960" w:rsidP="00256960">
      <w:r w:rsidRPr="00256960">
        <w:t>In August 2016 Trent University signed an MOU with Centennial College to expand student pathways and joint programming. The focus includes: Creating new and innovative student pathways; assessing opportunities for development of an integrated joint diploma/degree program; and data sharing related to pathways and potential joint programs with a particular focus on the Durham GTA campus.</w:t>
      </w:r>
      <w:r w:rsidR="00D22A1D">
        <w:t xml:space="preserve">  </w:t>
      </w:r>
    </w:p>
    <w:p w14:paraId="518D6ED5" w14:textId="77777777" w:rsidR="0049218C" w:rsidRPr="00256960" w:rsidRDefault="0049218C" w:rsidP="001E3546">
      <w:pPr>
        <w:spacing w:after="0"/>
      </w:pPr>
      <w:r w:rsidRPr="00256960">
        <w:t xml:space="preserve">Trent University Durham GTA continues to provide humanities and social sciences electives to the University of Ontario Institute of Technology (UOIT). Discussions continue on joint projects and joint degrees, such as Kinesiology and Joint Professional Practice Masters in Nursing Leadership. The senior academic leadership from Trent University and UOIT continues to meet bi-annually to discuss innovative approaches to teaching and research and how the two universities might work together. One result was the Trent-UOIT-Durham College proposal for major capital expansion in Oshawa. </w:t>
      </w:r>
    </w:p>
    <w:p w14:paraId="39E1B779" w14:textId="77777777" w:rsidR="0049218C" w:rsidRDefault="0049218C" w:rsidP="001E3546">
      <w:pPr>
        <w:spacing w:after="0"/>
      </w:pPr>
    </w:p>
    <w:p w14:paraId="3A8B9A62" w14:textId="1069C419" w:rsidR="00D40144" w:rsidRDefault="0049218C" w:rsidP="00256960">
      <w:r>
        <w:t xml:space="preserve">Other program </w:t>
      </w:r>
      <w:r w:rsidRPr="00256960">
        <w:t xml:space="preserve">run jointly with UOIT </w:t>
      </w:r>
      <w:r>
        <w:t xml:space="preserve">is the Material Science Graduate program made possible </w:t>
      </w:r>
      <w:r w:rsidRPr="00256960">
        <w:t>by offering all courses by video link to students at both campuses. The two institutions’ experience with the logistics and technology involved place them in a unique position to contribute to related efforts. In particular, a successful eCampus</w:t>
      </w:r>
      <w:r>
        <w:t xml:space="preserve"> </w:t>
      </w:r>
      <w:r w:rsidRPr="00256960">
        <w:t>Ontario proposal from Windsor aims at building a network for sharing graduate physics course instruction among smaller Ontario universities. Research and graduate training are central to the University community at all levels, from attracting the best faculty to giving undergraduates direct exposure to the process of knowledge creation. However, small universities don’t have the benefits of the economies of scale that larger institutions have. There is strong potential in using technology to overcome these barriers and Trent’s experience, supported by excellent IT staff, puts it in a position to be a leader in this area.</w:t>
      </w:r>
      <w:r>
        <w:t xml:space="preserve"> </w:t>
      </w:r>
      <w:r w:rsidRPr="00256960">
        <w:t xml:space="preserve">Trent </w:t>
      </w:r>
      <w:r>
        <w:t xml:space="preserve">also </w:t>
      </w:r>
      <w:r w:rsidRPr="00256960">
        <w:t>continues to collaborate with UOIT and York in an ONCAT-funded data-sharing project with community college partners, tracking transfer students as they progress to degree completion.</w:t>
      </w:r>
    </w:p>
    <w:p w14:paraId="1C19F98F" w14:textId="77777777" w:rsidR="00256960" w:rsidRPr="00256960" w:rsidRDefault="00256960" w:rsidP="00256960">
      <w:pPr>
        <w:rPr>
          <w:b/>
        </w:rPr>
      </w:pPr>
      <w:r w:rsidRPr="00256960">
        <w:rPr>
          <w:b/>
        </w:rPr>
        <w:t>Peterborough Campus</w:t>
      </w:r>
    </w:p>
    <w:p w14:paraId="2B879EF8" w14:textId="77777777" w:rsidR="00256960" w:rsidRPr="00256960" w:rsidRDefault="00256960" w:rsidP="00256960">
      <w:r w:rsidRPr="00256960">
        <w:t>Building on a long-standing partnership and mutual commitment to environmental research and teaching, Trent University and Fleming College signed an MOU in April 2016, creating a formal relationship to support collaboration in academic programming and research in areas related to environmental and natural resource studies.</w:t>
      </w:r>
    </w:p>
    <w:p w14:paraId="0CEA5688" w14:textId="77777777" w:rsidR="00256960" w:rsidRPr="00256960" w:rsidRDefault="00256960" w:rsidP="00256960">
      <w:r w:rsidRPr="00256960">
        <w:t>The Trent School of the Environment/Fleming School of Environmental and Natural Resource Sciences partnership provides students with opportunities for applied learning through community-based projects, co-op opportunities, field camps and workshops. It facilitates shared resources, including faculty and staff expertise, collaboration on relevant environmental events, conferences, guest speakers and the creation of new and innovative student pathways for students to easily transfer between institutions.</w:t>
      </w:r>
    </w:p>
    <w:p w14:paraId="150648FF" w14:textId="77777777" w:rsidR="00256960" w:rsidRPr="00256960" w:rsidRDefault="00256960" w:rsidP="00256960">
      <w:r w:rsidRPr="00256960">
        <w:t xml:space="preserve">As long-time partners, Trent University and Fleming College have developed a range of collaborative efforts in programming and research. They include the well-known joint Ecological Restoration BSc program, where students connect theory and principles with hands-on practical application. There are close to 20 articulation agreements that offer a smooth transition for Fleming graduates into Trent degree programs. Our many joint research projects include significant collaboration in water quality research, through Fleming's Centre for Alternative Wastewater Treatment and Trent’s Institute for Watershed Science. </w:t>
      </w:r>
    </w:p>
    <w:p w14:paraId="414B8E59" w14:textId="77777777" w:rsidR="00D22A1D" w:rsidRPr="00256960" w:rsidRDefault="00256960" w:rsidP="00D22A1D">
      <w:pPr>
        <w:rPr>
          <w:rFonts w:ascii="Calibri" w:hAnsi="Calibri"/>
          <w:color w:val="000000"/>
          <w:lang w:val="en-CA"/>
        </w:rPr>
      </w:pPr>
      <w:r w:rsidRPr="00256960">
        <w:t xml:space="preserve">Another example of collaboration is Trent/Fleming support for the successful application to the United Nations (UNESCO) to designate Peterborough-Kawarthas-Haliburton a Regional Centre of Expertise (RCE) on Education for Sustainable Development. </w:t>
      </w:r>
      <w:r w:rsidR="00D22A1D" w:rsidRPr="00256960">
        <w:rPr>
          <w:rFonts w:ascii="Calibri" w:hAnsi="Calibri"/>
          <w:color w:val="000000"/>
          <w:lang w:val="en-CA"/>
        </w:rPr>
        <w:t>The RCE designation further serves the development of the Peterborough region as a leader in Green Technology. In keeping with this vision, the Trent Research and Innovation Park will aim to be Canada’s premier Green Technology research and innovation site, hosting a cluster of small to medium sized companies and start-up enterprises. We expect Fleming to be a key part of these developments.</w:t>
      </w:r>
    </w:p>
    <w:p w14:paraId="4EFDF66C" w14:textId="5D2383D0" w:rsidR="004F52AD" w:rsidRPr="00256960" w:rsidRDefault="00256960" w:rsidP="00256960">
      <w:pPr>
        <w:rPr>
          <w:rFonts w:ascii="Calibri" w:hAnsi="Calibri"/>
          <w:color w:val="000000"/>
        </w:rPr>
      </w:pPr>
      <w:r w:rsidRPr="00256960">
        <w:rPr>
          <w:rFonts w:ascii="Calibri" w:hAnsi="Calibri"/>
          <w:color w:val="000000"/>
          <w:lang w:val="en-CA"/>
        </w:rPr>
        <w:t>Trent University and Fleming College work together to shape the economic, cultural and social well-being of the community. We believe that p</w:t>
      </w:r>
      <w:r w:rsidRPr="00256960">
        <w:rPr>
          <w:rFonts w:ascii="Calibri" w:hAnsi="Calibri"/>
          <w:color w:val="000000"/>
        </w:rPr>
        <w:t xml:space="preserve">artnerships between municipalities and post-secondary institutions are vital to driving economic growth, building vibrant communities, preparing students for the future and enhancing the quality of life. Trent’s partnership with the City of Peterborough and Fleming College is a vital example that demonstrates their importance. </w:t>
      </w:r>
    </w:p>
    <w:p w14:paraId="7FE36F63" w14:textId="77777777" w:rsidR="00256960" w:rsidRDefault="00256960" w:rsidP="00256960">
      <w:pPr>
        <w:rPr>
          <w:rFonts w:ascii="Calibri" w:hAnsi="Calibri"/>
          <w:b/>
          <w:color w:val="000000"/>
        </w:rPr>
      </w:pPr>
      <w:r w:rsidRPr="00256960">
        <w:rPr>
          <w:rFonts w:ascii="Calibri" w:hAnsi="Calibri"/>
          <w:b/>
          <w:color w:val="000000"/>
        </w:rPr>
        <w:t>Other Partnerships:</w:t>
      </w:r>
    </w:p>
    <w:p w14:paraId="533532AF" w14:textId="77777777" w:rsidR="00D22A1D" w:rsidRPr="0049218C" w:rsidRDefault="00D22A1D" w:rsidP="00D22A1D">
      <w:pPr>
        <w:rPr>
          <w:rFonts w:ascii="Calibri" w:hAnsi="Calibri"/>
          <w:b/>
          <w:color w:val="000000"/>
        </w:rPr>
      </w:pPr>
      <w:r w:rsidRPr="0049218C">
        <w:rPr>
          <w:rFonts w:ascii="Calibri" w:hAnsi="Calibri"/>
          <w:b/>
          <w:color w:val="000000"/>
        </w:rPr>
        <w:t>Trent is a Leader in Transfer Credits</w:t>
      </w:r>
    </w:p>
    <w:p w14:paraId="3AE63805" w14:textId="77777777" w:rsidR="00D22A1D" w:rsidRPr="001E3546" w:rsidRDefault="00D22A1D" w:rsidP="00D22A1D">
      <w:pPr>
        <w:rPr>
          <w:rFonts w:ascii="Calibri" w:hAnsi="Calibri"/>
          <w:color w:val="000000"/>
        </w:rPr>
      </w:pPr>
      <w:r w:rsidRPr="001E3546">
        <w:rPr>
          <w:rFonts w:ascii="Calibri" w:hAnsi="Calibri"/>
          <w:color w:val="000000"/>
        </w:rPr>
        <w:t xml:space="preserve">With over 100 transfer agreements and flexible pathway options, Trent University is a leader in helping students achieve degree completion goals. </w:t>
      </w:r>
    </w:p>
    <w:p w14:paraId="14232B2E" w14:textId="77777777" w:rsidR="00256960" w:rsidRPr="00256960" w:rsidRDefault="00256960" w:rsidP="00256960">
      <w:pPr>
        <w:rPr>
          <w:b/>
        </w:rPr>
      </w:pPr>
      <w:r w:rsidRPr="00256960">
        <w:rPr>
          <w:b/>
        </w:rPr>
        <w:t>International Partnerships</w:t>
      </w:r>
    </w:p>
    <w:p w14:paraId="243C4713" w14:textId="77777777" w:rsidR="00256960" w:rsidRPr="00256960" w:rsidRDefault="00256960" w:rsidP="00256960">
      <w:r w:rsidRPr="00256960">
        <w:t>On a visit to China in November 2016 Trent University renewed its commitment to international university-to-university collaboration with visits to Jiangnan University (Environmental Sciences), and the School of Nursing, Beijing University of Chinese Medicine (a center for Traditional Chinese Medicine and Nursing). Trent continues to have active partnerships with Nanjing University International Environment Institute, Universidad Andina Simón Bolívar in Quito and the University of Cape Coast.</w:t>
      </w:r>
    </w:p>
    <w:p w14:paraId="377F62B1" w14:textId="6876EC02" w:rsidR="00F02A6E" w:rsidRDefault="00256960" w:rsidP="00256960">
      <w:pPr>
        <w:rPr>
          <w:rFonts w:asciiTheme="majorHAnsi" w:eastAsiaTheme="majorEastAsia" w:hAnsiTheme="majorHAnsi" w:cstheme="majorBidi"/>
          <w:spacing w:val="5"/>
          <w:sz w:val="52"/>
          <w:szCs w:val="52"/>
        </w:rPr>
      </w:pPr>
      <w:r w:rsidRPr="00256960">
        <w:t xml:space="preserve">A partnership between Trent University and the School of Law at Swansea University in the UK, allows Trent students to complete a dual degree – an honours Bachelor of Arts and an </w:t>
      </w:r>
      <w:r w:rsidR="00D11D06" w:rsidRPr="00256960">
        <w:t>LLB in</w:t>
      </w:r>
      <w:r w:rsidRPr="00256960">
        <w:t xml:space="preserve"> just six years.  The new Law and Arts: Trent/Swansea Dual Degree (LLB and BA) is the first dual degree program to be offered at Trent University in partnership with another university.</w:t>
      </w:r>
      <w:r w:rsidR="00F02A6E">
        <w:br w:type="page"/>
      </w:r>
    </w:p>
    <w:p w14:paraId="2CFA0262" w14:textId="77777777" w:rsidR="00891292" w:rsidRPr="00891292" w:rsidRDefault="00F02A6E" w:rsidP="00ED423E">
      <w:pPr>
        <w:pStyle w:val="Title"/>
        <w:numPr>
          <w:ilvl w:val="0"/>
          <w:numId w:val="18"/>
        </w:numPr>
        <w:outlineLvl w:val="0"/>
      </w:pPr>
      <w:r>
        <w:t>Ministry/Government Commitments</w:t>
      </w:r>
    </w:p>
    <w:p w14:paraId="3C57342E" w14:textId="77777777" w:rsidR="00101282" w:rsidRDefault="00101282" w:rsidP="00101282">
      <w:pPr>
        <w:numPr>
          <w:ilvl w:val="0"/>
          <w:numId w:val="38"/>
        </w:numPr>
        <w:spacing w:after="0" w:line="240" w:lineRule="auto"/>
      </w:pPr>
      <w:r>
        <w:t xml:space="preserve">The SMA2 process has focused on implementing the first stages of the new funding model and demonstrating the ongoing commitment by all colleges and universities to student success. Future growth will only be funded through negotiated changes to an institution’s funded enrolment corridor .  Through the SMA2 cycle, the ministry will continue to work closely with institutions to ensure all dimensions of the funding model are implemented.  </w:t>
      </w:r>
    </w:p>
    <w:p w14:paraId="7879A206" w14:textId="77777777" w:rsidR="00101282" w:rsidRDefault="00101282" w:rsidP="00101282">
      <w:pPr>
        <w:spacing w:after="0"/>
      </w:pPr>
    </w:p>
    <w:p w14:paraId="6D49ADCC" w14:textId="77777777" w:rsidR="00101282" w:rsidRDefault="00101282" w:rsidP="00101282">
      <w:pPr>
        <w:numPr>
          <w:ilvl w:val="0"/>
          <w:numId w:val="38"/>
        </w:numPr>
        <w:spacing w:after="0" w:line="240" w:lineRule="auto"/>
      </w:pPr>
      <w:r>
        <w:t>In a memo to colleges and universities dated March 7, 2017, the ministry committed to using the SMA2 (2017-20) process as a transitional phase to commence the collaborative and joint development of performance metrics and targets, tied to funding, for SMA3 (2020-23). The ministry reiterates this commitment and reaffirms that metrics and targets included in SMA2 are not tied to funding at this time and are a beginning point for further discussions with the sector prior to their application in SMA3. Colleges and universities will have the opportunity to reset and realign metrics prior to the application of metrics in SMA3. The ministry will also engage other stakeholders as part of discussions on a broad metrics strategy.</w:t>
      </w:r>
    </w:p>
    <w:p w14:paraId="3E9D616C" w14:textId="77777777" w:rsidR="00101282" w:rsidRDefault="00101282" w:rsidP="00101282">
      <w:pPr>
        <w:spacing w:after="0"/>
        <w:ind w:left="720"/>
      </w:pPr>
    </w:p>
    <w:p w14:paraId="36AF3EE2" w14:textId="77777777" w:rsidR="00101282" w:rsidRDefault="00101282" w:rsidP="00101282">
      <w:pPr>
        <w:numPr>
          <w:ilvl w:val="1"/>
          <w:numId w:val="38"/>
        </w:numPr>
        <w:spacing w:after="0" w:line="240" w:lineRule="auto"/>
      </w:pPr>
      <w:r>
        <w:t xml:space="preserve">The ministry commits to establishing a joint working group with each of the sectors and to begin detailed discussions in fall 2017 on metrics/targets and to seek input on the performance measurement methodology for SMA3. </w:t>
      </w:r>
    </w:p>
    <w:p w14:paraId="7C0C24FC" w14:textId="77777777" w:rsidR="00101282" w:rsidRDefault="00101282" w:rsidP="00101282">
      <w:pPr>
        <w:spacing w:after="0"/>
      </w:pPr>
    </w:p>
    <w:p w14:paraId="78F3E349" w14:textId="77777777" w:rsidR="00101282" w:rsidRDefault="00101282" w:rsidP="00101282">
      <w:pPr>
        <w:numPr>
          <w:ilvl w:val="0"/>
          <w:numId w:val="39"/>
        </w:numPr>
        <w:spacing w:after="0" w:line="240" w:lineRule="auto"/>
      </w:pPr>
      <w:r>
        <w:t xml:space="preserve">Colleges, universities and the ministry all benefit from processes that are transparent and non-duplicative. The ministry commits to work with colleges and universities to continue to streamline processes and seek opportunities to further reduce red tape (in part through increased access to other tools) , including reducing or eliminating duplicated reporting requirements. </w:t>
      </w:r>
    </w:p>
    <w:p w14:paraId="3F635E95" w14:textId="77777777" w:rsidR="00101282" w:rsidRDefault="00101282" w:rsidP="00101282">
      <w:pPr>
        <w:spacing w:after="0" w:line="240" w:lineRule="auto"/>
        <w:ind w:left="720"/>
      </w:pPr>
    </w:p>
    <w:p w14:paraId="623045BB" w14:textId="77777777" w:rsidR="00101282" w:rsidRDefault="00101282" w:rsidP="00101282">
      <w:pPr>
        <w:numPr>
          <w:ilvl w:val="0"/>
          <w:numId w:val="39"/>
        </w:numPr>
        <w:spacing w:after="0" w:line="240" w:lineRule="auto"/>
      </w:pPr>
      <w:r>
        <w:t>Through SMA2 discussions, the ministry has heard concerns about the challenges of delivering breadth in programming for Francophone and Francophile students, including the cost and funding of such delivery. Starting in fall 2017, the ministry commits to consulting institutions who have a formal mandate for bilingual and/or French-language delivery to review the delivery of French-Language programming and consider these concerns.</w:t>
      </w:r>
    </w:p>
    <w:p w14:paraId="70EFFB56" w14:textId="77777777" w:rsidR="00101282" w:rsidRDefault="00101282" w:rsidP="00101282">
      <w:pPr>
        <w:spacing w:after="0" w:line="240" w:lineRule="auto"/>
        <w:ind w:left="720"/>
      </w:pPr>
    </w:p>
    <w:p w14:paraId="4189FB5E" w14:textId="77777777" w:rsidR="00101282" w:rsidRDefault="00101282" w:rsidP="00101282">
      <w:pPr>
        <w:numPr>
          <w:ilvl w:val="0"/>
          <w:numId w:val="39"/>
        </w:numPr>
        <w:spacing w:after="0" w:line="240" w:lineRule="auto"/>
      </w:pPr>
      <w:r>
        <w:t xml:space="preserve">In 2016, an extension of the existing tuition policy framework was announced to support a major reform in OSAP. The ministry will engage with both the college and university sectors around the next tuition policy framework, including examining the issue of tuition anomalies in certain professional programs as a result of past changes to tuition policy, and, for colleges, examining tuition levels relative to competitive college tuition frameworks in Canada. </w:t>
      </w:r>
    </w:p>
    <w:p w14:paraId="657D18FE" w14:textId="77777777" w:rsidR="00101282" w:rsidRDefault="00101282" w:rsidP="00101282">
      <w:pPr>
        <w:spacing w:after="0" w:line="240" w:lineRule="auto"/>
        <w:ind w:left="720"/>
      </w:pPr>
    </w:p>
    <w:p w14:paraId="0B34ABEE" w14:textId="77777777" w:rsidR="00101282" w:rsidRDefault="00101282" w:rsidP="00101282">
      <w:pPr>
        <w:numPr>
          <w:ilvl w:val="0"/>
          <w:numId w:val="39"/>
        </w:numPr>
        <w:spacing w:after="0" w:line="240" w:lineRule="auto"/>
      </w:pPr>
      <w:r>
        <w:t xml:space="preserve">In recent years and during the SMA process, there has been an increased interest in the creation of a new polytechnic designation in the Ontario postsecondary education system. Starting in fall 2017, the ministry commits to undertake a review that examines whether improved benefits for students and employers are sufficient to make such a change. The ministry commits to working collaboratively with institutions across the sectors on this review.  </w:t>
      </w:r>
    </w:p>
    <w:p w14:paraId="7EB49343" w14:textId="77777777" w:rsidR="00101282" w:rsidRDefault="00101282" w:rsidP="00101282">
      <w:pPr>
        <w:spacing w:after="0" w:line="240" w:lineRule="auto"/>
        <w:ind w:left="720"/>
      </w:pPr>
    </w:p>
    <w:p w14:paraId="70826E51" w14:textId="77777777" w:rsidR="00101282" w:rsidRDefault="00101282" w:rsidP="00101282">
      <w:pPr>
        <w:pStyle w:val="ListParagraph"/>
        <w:numPr>
          <w:ilvl w:val="0"/>
          <w:numId w:val="37"/>
        </w:numPr>
        <w:spacing w:after="0" w:line="240" w:lineRule="auto"/>
      </w:pPr>
      <w:r>
        <w:t xml:space="preserve">The ministry commits to continue to work collaboratively with universities to assess the anticipated need for additional graduate spaces related to programs that are currently under development. </w:t>
      </w:r>
    </w:p>
    <w:p w14:paraId="56CF18BA" w14:textId="77777777" w:rsidR="00101282" w:rsidRDefault="00101282" w:rsidP="00101282">
      <w:pPr>
        <w:pStyle w:val="ListParagraph"/>
        <w:spacing w:after="0" w:line="240" w:lineRule="auto"/>
      </w:pPr>
    </w:p>
    <w:p w14:paraId="61F488C9" w14:textId="77777777" w:rsidR="00101282" w:rsidRDefault="00101282" w:rsidP="00101282">
      <w:pPr>
        <w:numPr>
          <w:ilvl w:val="0"/>
          <w:numId w:val="37"/>
        </w:numPr>
        <w:spacing w:after="0" w:line="240" w:lineRule="auto"/>
        <w:rPr>
          <w:b/>
        </w:rPr>
      </w:pPr>
      <w:r>
        <w:t>Starting in fall 2017, the ministry commits to undertake a review of the university Northern Grant working collaboratively with universities to examine whether the criteria for access and allocations of the Northern Grant represent an equitable approach.</w:t>
      </w:r>
    </w:p>
    <w:p w14:paraId="6F15DAC4" w14:textId="77777777" w:rsidR="00891292" w:rsidRDefault="00891292" w:rsidP="00891292">
      <w:pPr>
        <w:rPr>
          <w:rFonts w:ascii="Calibri" w:hAnsi="Calibri" w:cs="Calibri"/>
        </w:rPr>
      </w:pPr>
    </w:p>
    <w:p w14:paraId="7D307277" w14:textId="77777777" w:rsidR="00101282" w:rsidRDefault="00101282" w:rsidP="00891292">
      <w:pPr>
        <w:rPr>
          <w:rFonts w:ascii="Calibri" w:hAnsi="Calibri" w:cs="Calibri"/>
        </w:rPr>
      </w:pPr>
    </w:p>
    <w:p w14:paraId="46A42B34" w14:textId="77777777" w:rsidR="00101282" w:rsidRDefault="00101282" w:rsidP="00891292">
      <w:pPr>
        <w:rPr>
          <w:rFonts w:ascii="Calibri" w:hAnsi="Calibri" w:cs="Calibri"/>
        </w:rPr>
      </w:pPr>
    </w:p>
    <w:p w14:paraId="231A39FE" w14:textId="77777777" w:rsidR="00101282" w:rsidRDefault="00101282" w:rsidP="00891292">
      <w:pPr>
        <w:rPr>
          <w:rFonts w:ascii="Calibri" w:hAnsi="Calibri" w:cs="Calibri"/>
        </w:rPr>
      </w:pPr>
    </w:p>
    <w:p w14:paraId="402F7F6B" w14:textId="77777777" w:rsidR="00101282" w:rsidRDefault="00101282" w:rsidP="00891292">
      <w:pPr>
        <w:rPr>
          <w:rFonts w:ascii="Calibri" w:hAnsi="Calibri" w:cs="Calibri"/>
        </w:rPr>
      </w:pPr>
    </w:p>
    <w:p w14:paraId="793803E9" w14:textId="77777777" w:rsidR="00101282" w:rsidRDefault="00101282" w:rsidP="00891292">
      <w:pPr>
        <w:rPr>
          <w:rFonts w:ascii="Calibri" w:hAnsi="Calibri" w:cs="Calibri"/>
        </w:rPr>
      </w:pPr>
    </w:p>
    <w:p w14:paraId="74FAEBE4" w14:textId="77777777" w:rsidR="00101282" w:rsidRDefault="00101282" w:rsidP="00891292">
      <w:pPr>
        <w:rPr>
          <w:rFonts w:ascii="Calibri" w:hAnsi="Calibri" w:cs="Calibri"/>
        </w:rPr>
      </w:pPr>
    </w:p>
    <w:p w14:paraId="59387965" w14:textId="77777777" w:rsidR="00101282" w:rsidRPr="00C3362F" w:rsidRDefault="00101282" w:rsidP="00891292">
      <w:pPr>
        <w:rPr>
          <w:rFonts w:ascii="Calibri" w:hAnsi="Calibri" w:cs="Calibri"/>
        </w:rPr>
      </w:pPr>
    </w:p>
    <w:p w14:paraId="34767D53" w14:textId="77777777" w:rsidR="006732F8" w:rsidRPr="00C37879" w:rsidRDefault="006732F8">
      <w:pPr>
        <w:rPr>
          <w:rFonts w:ascii="Arial" w:hAnsi="Arial" w:cs="Arial"/>
          <w:b/>
          <w:i/>
        </w:rPr>
      </w:pPr>
    </w:p>
    <w:p w14:paraId="40B2B730" w14:textId="77777777" w:rsidR="006732F8" w:rsidRDefault="006732F8"/>
    <w:p w14:paraId="232A84B5" w14:textId="77777777" w:rsidR="00BA1AD1" w:rsidRDefault="00BA1AD1">
      <w:pPr>
        <w:rPr>
          <w:rFonts w:ascii="Calibri" w:eastAsiaTheme="majorEastAsia" w:hAnsi="Calibri" w:cs="Calibri"/>
          <w:b/>
          <w:spacing w:val="5"/>
          <w:kern w:val="28"/>
          <w14:ligatures w14:val="standardContextual"/>
          <w14:cntxtAlts/>
        </w:rPr>
      </w:pPr>
    </w:p>
    <w:p w14:paraId="3131C62F" w14:textId="77777777" w:rsidR="003B7488" w:rsidRDefault="003B7488" w:rsidP="00FF3058"/>
    <w:p w14:paraId="5D8CB5EA" w14:textId="77777777" w:rsidR="003B7488" w:rsidRDefault="003B7488" w:rsidP="00FF3058"/>
    <w:p w14:paraId="7A2BBEBA" w14:textId="77777777" w:rsidR="003B7488" w:rsidRDefault="003B7488" w:rsidP="00FF3058"/>
    <w:p w14:paraId="7B40D4E9" w14:textId="77777777" w:rsidR="003B7488" w:rsidRDefault="003B7488" w:rsidP="00FF3058"/>
    <w:p w14:paraId="0134EBDB" w14:textId="77777777" w:rsidR="003B7488" w:rsidRDefault="003B7488" w:rsidP="00FF3058"/>
    <w:p w14:paraId="6648D1C0" w14:textId="77777777" w:rsidR="003B7488" w:rsidRDefault="003B7488" w:rsidP="00FF3058"/>
    <w:p w14:paraId="12A39E80" w14:textId="77777777" w:rsidR="003B7488" w:rsidRDefault="003B7488" w:rsidP="00FF3058"/>
    <w:p w14:paraId="2A045B16" w14:textId="77777777" w:rsidR="003B7488" w:rsidRDefault="003B7488" w:rsidP="00FF3058"/>
    <w:p w14:paraId="04271285" w14:textId="77777777" w:rsidR="003B7488" w:rsidRDefault="003B7488" w:rsidP="00FF3058"/>
    <w:p w14:paraId="69FE1C48" w14:textId="77777777" w:rsidR="003B7488" w:rsidRDefault="003B7488" w:rsidP="00FF3058"/>
    <w:p w14:paraId="548FD730" w14:textId="77777777" w:rsidR="003B7488" w:rsidRDefault="003B7488" w:rsidP="00FF3058"/>
    <w:p w14:paraId="2D3F2EE5" w14:textId="77777777" w:rsidR="003B7488" w:rsidRDefault="003B7488" w:rsidP="00FF3058">
      <w:bookmarkStart w:id="0" w:name="_GoBack"/>
      <w:bookmarkEnd w:id="0"/>
    </w:p>
    <w:sectPr w:rsidR="003B7488">
      <w:headerReference w:type="even" r:id="rId13"/>
      <w:headerReference w:type="default" r:id="rId14"/>
      <w:footerReference w:type="even" r:id="rId15"/>
      <w:footerReference w:type="default" r:id="rId16"/>
      <w:headerReference w:type="first" r:id="rId17"/>
      <w:pgSz w:w="12240" w:h="15840"/>
      <w:pgMar w:top="1440" w:right="1080" w:bottom="1440" w:left="1080" w:header="576"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595A7" w14:textId="77777777" w:rsidR="00855AE2" w:rsidRDefault="00855AE2">
      <w:pPr>
        <w:spacing w:after="0" w:line="240" w:lineRule="auto"/>
      </w:pPr>
      <w:r>
        <w:separator/>
      </w:r>
    </w:p>
  </w:endnote>
  <w:endnote w:type="continuationSeparator" w:id="0">
    <w:p w14:paraId="719E3ADB" w14:textId="77777777" w:rsidR="00855AE2" w:rsidRDefault="00855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w:charset w:val="00"/>
    <w:family w:val="auto"/>
    <w:pitch w:val="variable"/>
    <w:sig w:usb0="80000267" w:usb1="00000000" w:usb2="00000000" w:usb3="00000000" w:csb0="000001F7" w:csb1="00000000"/>
  </w:font>
  <w:font w:name="Lucida Grande">
    <w:altName w:val="Times New Roman"/>
    <w:charset w:val="00"/>
    <w:family w:val="auto"/>
    <w:pitch w:val="variable"/>
    <w:sig w:usb0="00000000"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C401" w14:textId="77777777" w:rsidR="008300F9" w:rsidRDefault="008300F9">
    <w:pPr>
      <w:jc w:val="right"/>
    </w:pPr>
  </w:p>
  <w:p w14:paraId="3512151C" w14:textId="77777777" w:rsidR="008300F9" w:rsidRDefault="008300F9">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9BBB59" w:themeColor="accent3"/>
      </w:rPr>
      <w:sym w:font="Wingdings 2" w:char="F097"/>
    </w:r>
    <w:r>
      <w:t xml:space="preserve"> </w:t>
    </w:r>
  </w:p>
  <w:p w14:paraId="11C0963C" w14:textId="77777777" w:rsidR="008300F9" w:rsidRDefault="008300F9">
    <w:pPr>
      <w:jc w:val="right"/>
    </w:pPr>
    <w:r>
      <w:rPr>
        <w:noProof/>
      </w:rPr>
      <mc:AlternateContent>
        <mc:Choice Requires="wpg">
          <w:drawing>
            <wp:inline distT="0" distB="0" distL="0" distR="0" wp14:anchorId="46A9AA83" wp14:editId="75FF2E4B">
              <wp:extent cx="2327910" cy="45085"/>
              <wp:effectExtent l="9525" t="9525"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AC21D0"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jDwMAAP8I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FQWamr4rE/C4Ed1Ddy+G/GB5y8l3CWbnpV3vy8EZbfovPIdweKu4&#10;oWZfiFaHgKTR3lTg6VgBuleIwJ8TfzKdeVAoArapN5SHVFBDfWQauZGFwOKFbmwA4oRUq/GsH0Vg&#10;PR10cDJcaWCOsHRO0GnyRKZ8H5kPFe6oqZHUVI1kApCBzCVkb1xQOBBqvFI2sEn2bGQTMZ5WmJXU&#10;OD8+dcCcSR/APzuiNxJK8Xt2keDQ4J4bu/pnSB/JjsMAhHjO3JHz6QRqr3kzcjjShpNOSHVDeYv0&#10;Ym5JJXBdVirljIGwuPDMFXh3K5XuhtMBXWbG13XTGH01DPWAa+aGAyjJmzrXVu0nRblJG4F2GCQa&#10;+LEbR5opiHbmBlJguYlWUZyvxrXCdTOswb9hOh6kBXjG1aDBHzN3topXcWAHk2hlB26W2ct1GtjR&#10;2puGmZ+laeb91Ml4QVLVeU6ZRneYB17wdy0yTqZByceJcOTBOY9uUgSw50hDPwrc2SSyl8tsagdB&#10;FtvX17BK09Us8L0oCFfpAamscM77u40kW0Hz96MdSjB0neHxANHwaRpR994goQ3Pn+6FLtQoqA9S&#10;1vS1sky/nMkExsJHKevZTPJCo3FDnZlmp4n0b5XlQxcbKZ4p5r+wYCYcpsGfuxc8zFvWNP34RaBf&#10;48/3pttP3y2LXwA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DvGSBjDwMAAP8I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24504514" w14:textId="77777777" w:rsidR="008300F9" w:rsidRDefault="008300F9">
    <w:pPr>
      <w:pStyle w:val="NoSpacing"/>
      <w:rPr>
        <w:sz w:val="2"/>
        <w:szCs w:val="2"/>
      </w:rPr>
    </w:pPr>
  </w:p>
  <w:p w14:paraId="3676DC78" w14:textId="77777777" w:rsidR="008300F9" w:rsidRDefault="008300F9"/>
  <w:p w14:paraId="08F4B705" w14:textId="77777777" w:rsidR="008300F9" w:rsidRDefault="008300F9"/>
  <w:p w14:paraId="2F1E02F9" w14:textId="77777777" w:rsidR="008300F9" w:rsidRDefault="008300F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12E96" w14:textId="5CF87894" w:rsidR="008300F9" w:rsidRDefault="008300F9">
    <w:pPr>
      <w:jc w:val="center"/>
    </w:pPr>
    <w:r>
      <w:rPr>
        <w:color w:val="4F81BD" w:themeColor="accent1"/>
      </w:rPr>
      <w:sym w:font="Wingdings" w:char="F09F"/>
    </w:r>
    <w:r>
      <w:rPr>
        <w:color w:val="4F81BD" w:themeColor="accent1"/>
      </w:rPr>
      <w:t xml:space="preserv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A94BE5">
      <w:rPr>
        <w:noProof/>
        <w:color w:val="4F81BD" w:themeColor="accent1"/>
      </w:rPr>
      <w:t>31</w:t>
    </w:r>
    <w:r>
      <w:rPr>
        <w:color w:val="4F81BD" w:themeColor="accent1"/>
      </w:rPr>
      <w:fldChar w:fldCharType="end"/>
    </w:r>
    <w:r>
      <w:rPr>
        <w:color w:val="4F81BD" w:themeColor="accent1"/>
      </w:rPr>
      <w:t xml:space="preserve"> </w:t>
    </w:r>
    <w:r>
      <w:rPr>
        <w:color w:val="4F81BD" w:themeColor="accent1"/>
      </w:rPr>
      <w:sym w:font="Wingdings" w:char="F09F"/>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E6D45" w14:textId="77777777" w:rsidR="00855AE2" w:rsidRDefault="00855AE2">
      <w:pPr>
        <w:spacing w:after="0" w:line="240" w:lineRule="auto"/>
      </w:pPr>
      <w:r>
        <w:separator/>
      </w:r>
    </w:p>
  </w:footnote>
  <w:footnote w:type="continuationSeparator" w:id="0">
    <w:p w14:paraId="24715586" w14:textId="77777777" w:rsidR="00855AE2" w:rsidRDefault="00855AE2">
      <w:pPr>
        <w:spacing w:after="0" w:line="240" w:lineRule="auto"/>
      </w:pPr>
      <w:r>
        <w:continuationSeparator/>
      </w:r>
    </w:p>
  </w:footnote>
  <w:footnote w:id="1">
    <w:p w14:paraId="668AE8B2" w14:textId="77777777" w:rsidR="008300F9" w:rsidRPr="00FC0F24" w:rsidRDefault="008300F9" w:rsidP="000D6F8A">
      <w:pPr>
        <w:pStyle w:val="FootnoteText"/>
        <w:rPr>
          <w:lang w:val="en-US"/>
        </w:rPr>
      </w:pPr>
      <w:r>
        <w:rPr>
          <w:rStyle w:val="FootnoteReference"/>
        </w:rPr>
        <w:footnoteRef/>
      </w:r>
      <w:r>
        <w:t xml:space="preserve"> </w:t>
      </w:r>
      <w:r>
        <w:rPr>
          <w:lang w:val="en-US"/>
        </w:rPr>
        <w:t>Survey done by Trent’s Institutional Research Department</w:t>
      </w:r>
    </w:p>
  </w:footnote>
  <w:footnote w:id="2">
    <w:p w14:paraId="7A0DF217" w14:textId="77777777" w:rsidR="008300F9" w:rsidRPr="001C6E0D" w:rsidRDefault="008300F9" w:rsidP="000D6F8A">
      <w:pPr>
        <w:pStyle w:val="FootnoteText"/>
        <w:rPr>
          <w:lang w:val="en-US"/>
        </w:rPr>
      </w:pPr>
      <w:r>
        <w:rPr>
          <w:rStyle w:val="FootnoteReference"/>
        </w:rPr>
        <w:footnoteRef/>
      </w:r>
      <w:r>
        <w:t xml:space="preserve"> http://</w:t>
      </w:r>
      <w:r w:rsidRPr="001C6E0D">
        <w:t>www.trentcentre.ca/about/partners</w:t>
      </w:r>
    </w:p>
  </w:footnote>
  <w:footnote w:id="3">
    <w:p w14:paraId="040D5F1C" w14:textId="35A03359" w:rsidR="008300F9" w:rsidRPr="00A85D01" w:rsidRDefault="008300F9" w:rsidP="000D6F8A">
      <w:pPr>
        <w:pStyle w:val="FootnoteText"/>
        <w:rPr>
          <w:lang w:val="en-US"/>
        </w:rPr>
      </w:pPr>
      <w:r>
        <w:rPr>
          <w:rStyle w:val="FootnoteReference"/>
        </w:rPr>
        <w:footnoteRef/>
      </w:r>
      <w:r>
        <w:t xml:space="preserve"> </w:t>
      </w:r>
      <w:r>
        <w:rPr>
          <w:lang w:val="en-US"/>
        </w:rPr>
        <w:t>105 applications include anyone not coming directly from an Ontario high school.</w:t>
      </w:r>
    </w:p>
  </w:footnote>
  <w:footnote w:id="4">
    <w:p w14:paraId="1006674D" w14:textId="77777777" w:rsidR="008300F9" w:rsidRPr="00A85D01" w:rsidRDefault="008300F9" w:rsidP="00B140E3">
      <w:pPr>
        <w:pStyle w:val="FootnoteText"/>
        <w:rPr>
          <w:lang w:val="en-US"/>
        </w:rPr>
      </w:pPr>
      <w:r>
        <w:rPr>
          <w:rStyle w:val="FootnoteReference"/>
        </w:rPr>
        <w:footnoteRef/>
      </w:r>
      <w:r>
        <w:t xml:space="preserve"> </w:t>
      </w:r>
      <w:r w:rsidRPr="00C33016">
        <w:rPr>
          <w:lang w:val="en-US"/>
        </w:rPr>
        <w:t>https://www.researchinfosource.com/pdf/CIL%20Top%2050%20research%20universities%202016.pdf</w:t>
      </w:r>
    </w:p>
  </w:footnote>
  <w:footnote w:id="5">
    <w:p w14:paraId="60B5BC4D" w14:textId="77777777" w:rsidR="008300F9" w:rsidRPr="009569D7" w:rsidRDefault="008300F9" w:rsidP="00B140E3">
      <w:pPr>
        <w:pStyle w:val="FootnoteText"/>
      </w:pPr>
      <w:r>
        <w:rPr>
          <w:rStyle w:val="FootnoteReference"/>
        </w:rPr>
        <w:footnoteRef/>
      </w:r>
      <w:r>
        <w:t xml:space="preserve"> </w:t>
      </w:r>
      <w:r w:rsidRPr="009569D7">
        <w:t>http://www.trentu.ca/newsevents/newsDetail.php?newsId=14875</w:t>
      </w:r>
    </w:p>
  </w:footnote>
  <w:footnote w:id="6">
    <w:p w14:paraId="3705D32E" w14:textId="77777777" w:rsidR="008300F9" w:rsidRPr="002F26D1" w:rsidRDefault="008300F9" w:rsidP="001E5C95">
      <w:pPr>
        <w:pStyle w:val="FootnoteText"/>
        <w:rPr>
          <w:lang w:val="en-US"/>
        </w:rPr>
      </w:pPr>
      <w:r>
        <w:rPr>
          <w:rStyle w:val="FootnoteReference"/>
        </w:rPr>
        <w:footnoteRef/>
      </w:r>
      <w:r>
        <w:t xml:space="preserve"> </w:t>
      </w:r>
      <w:r w:rsidRPr="003B63EF">
        <w:rPr>
          <w:lang w:val="en-US"/>
        </w:rPr>
        <w:t>Thomas F. Phillips</w:t>
      </w:r>
      <w:r>
        <w:rPr>
          <w:lang w:val="en-US"/>
        </w:rPr>
        <w:t xml:space="preserve"> Ph.D. (February 2016),</w:t>
      </w:r>
      <w:r w:rsidRPr="001D1758">
        <w:rPr>
          <w:i/>
          <w:lang w:val="en-US"/>
        </w:rPr>
        <w:t>The Economic Impact of Trent University</w:t>
      </w:r>
      <w:r>
        <w:rPr>
          <w:lang w:val="en-US"/>
        </w:rPr>
        <w:t>.</w:t>
      </w:r>
    </w:p>
  </w:footnote>
  <w:footnote w:id="7">
    <w:p w14:paraId="75835331" w14:textId="77777777" w:rsidR="008300F9" w:rsidRPr="002F26D1" w:rsidRDefault="008300F9" w:rsidP="001E5C95">
      <w:pPr>
        <w:pStyle w:val="FootnoteText"/>
        <w:rPr>
          <w:lang w:val="en-US"/>
        </w:rPr>
      </w:pPr>
      <w:r>
        <w:rPr>
          <w:rStyle w:val="FootnoteReference"/>
        </w:rPr>
        <w:footnoteRef/>
      </w:r>
      <w:r>
        <w:t xml:space="preserve"> </w:t>
      </w:r>
      <w:r w:rsidRPr="002F26D1">
        <w:t>https://www.mykawartha.com/news-story/6412481-meet-the-top-144-employers-in-peterborough/</w:t>
      </w:r>
    </w:p>
  </w:footnote>
  <w:footnote w:id="8">
    <w:p w14:paraId="4A1B6394" w14:textId="77777777" w:rsidR="008300F9" w:rsidRPr="00B81E62" w:rsidRDefault="008300F9" w:rsidP="001E5C95">
      <w:pPr>
        <w:pStyle w:val="FootnoteText"/>
        <w:rPr>
          <w:lang w:val="en-US"/>
        </w:rPr>
      </w:pPr>
      <w:r>
        <w:rPr>
          <w:rStyle w:val="FootnoteReference"/>
        </w:rPr>
        <w:footnoteRef/>
      </w:r>
      <w:r>
        <w:t xml:space="preserve"> </w:t>
      </w:r>
      <w:r>
        <w:rPr>
          <w:lang w:val="en-US"/>
        </w:rPr>
        <w:t>Research InfoSource</w:t>
      </w:r>
    </w:p>
  </w:footnote>
  <w:footnote w:id="9">
    <w:p w14:paraId="17C80A72" w14:textId="77777777" w:rsidR="008300F9" w:rsidRPr="00B03998" w:rsidRDefault="008300F9" w:rsidP="00E3286A">
      <w:pPr>
        <w:pStyle w:val="FootnoteText"/>
        <w:rPr>
          <w:lang w:val="en-US"/>
        </w:rPr>
      </w:pPr>
      <w:r>
        <w:rPr>
          <w:rStyle w:val="FootnoteReference"/>
        </w:rPr>
        <w:footnoteRef/>
      </w:r>
      <w:r>
        <w:t xml:space="preserve"> </w:t>
      </w:r>
      <w:r w:rsidRPr="00B03998">
        <w:t>https://www.trentu.ca/president/sites/trentu.ca.president/files/InternationalizationReview_final.pdf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A476" w14:textId="6B191925" w:rsidR="008300F9" w:rsidRDefault="008300F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4CE84" w14:textId="3CE6878B" w:rsidR="008300F9" w:rsidRDefault="008300F9">
    <w:pPr>
      <w:spacing w:after="0"/>
      <w:jc w:val="center"/>
      <w:rPr>
        <w:color w:val="EEECE1" w:themeColor="background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C38C5" w14:textId="397C280C" w:rsidR="008300F9" w:rsidRDefault="008300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A8F"/>
    <w:multiLevelType w:val="hybridMultilevel"/>
    <w:tmpl w:val="875A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A0506"/>
    <w:multiLevelType w:val="hybridMultilevel"/>
    <w:tmpl w:val="97CAB578"/>
    <w:lvl w:ilvl="0" w:tplc="69D0CF12">
      <w:start w:val="1"/>
      <w:numFmt w:val="bullet"/>
      <w:pStyle w:val="Tablebullet"/>
      <w:lvlText w:val=""/>
      <w:lvlJc w:val="left"/>
      <w:pPr>
        <w:ind w:left="3054" w:hanging="360"/>
      </w:pPr>
      <w:rPr>
        <w:rFonts w:ascii="Symbol" w:hAnsi="Symbol" w:hint="default"/>
      </w:rPr>
    </w:lvl>
    <w:lvl w:ilvl="1" w:tplc="10090003">
      <w:start w:val="1"/>
      <w:numFmt w:val="bullet"/>
      <w:lvlText w:val="o"/>
      <w:lvlJc w:val="left"/>
      <w:pPr>
        <w:ind w:left="2232" w:hanging="360"/>
      </w:pPr>
      <w:rPr>
        <w:rFonts w:ascii="Courier New" w:hAnsi="Courier New" w:cs="Courier New" w:hint="default"/>
      </w:rPr>
    </w:lvl>
    <w:lvl w:ilvl="2" w:tplc="10090005" w:tentative="1">
      <w:start w:val="1"/>
      <w:numFmt w:val="bullet"/>
      <w:lvlText w:val=""/>
      <w:lvlJc w:val="left"/>
      <w:pPr>
        <w:ind w:left="2952" w:hanging="360"/>
      </w:pPr>
      <w:rPr>
        <w:rFonts w:ascii="Wingdings" w:hAnsi="Wingdings" w:hint="default"/>
      </w:rPr>
    </w:lvl>
    <w:lvl w:ilvl="3" w:tplc="10090001" w:tentative="1">
      <w:start w:val="1"/>
      <w:numFmt w:val="bullet"/>
      <w:lvlText w:val=""/>
      <w:lvlJc w:val="left"/>
      <w:pPr>
        <w:ind w:left="3672" w:hanging="360"/>
      </w:pPr>
      <w:rPr>
        <w:rFonts w:ascii="Symbol" w:hAnsi="Symbol" w:hint="default"/>
      </w:rPr>
    </w:lvl>
    <w:lvl w:ilvl="4" w:tplc="10090003" w:tentative="1">
      <w:start w:val="1"/>
      <w:numFmt w:val="bullet"/>
      <w:lvlText w:val="o"/>
      <w:lvlJc w:val="left"/>
      <w:pPr>
        <w:ind w:left="4392" w:hanging="360"/>
      </w:pPr>
      <w:rPr>
        <w:rFonts w:ascii="Courier New" w:hAnsi="Courier New" w:cs="Courier New" w:hint="default"/>
      </w:rPr>
    </w:lvl>
    <w:lvl w:ilvl="5" w:tplc="10090005" w:tentative="1">
      <w:start w:val="1"/>
      <w:numFmt w:val="bullet"/>
      <w:lvlText w:val=""/>
      <w:lvlJc w:val="left"/>
      <w:pPr>
        <w:ind w:left="5112" w:hanging="360"/>
      </w:pPr>
      <w:rPr>
        <w:rFonts w:ascii="Wingdings" w:hAnsi="Wingdings" w:hint="default"/>
      </w:rPr>
    </w:lvl>
    <w:lvl w:ilvl="6" w:tplc="10090001" w:tentative="1">
      <w:start w:val="1"/>
      <w:numFmt w:val="bullet"/>
      <w:lvlText w:val=""/>
      <w:lvlJc w:val="left"/>
      <w:pPr>
        <w:ind w:left="5832" w:hanging="360"/>
      </w:pPr>
      <w:rPr>
        <w:rFonts w:ascii="Symbol" w:hAnsi="Symbol" w:hint="default"/>
      </w:rPr>
    </w:lvl>
    <w:lvl w:ilvl="7" w:tplc="10090003" w:tentative="1">
      <w:start w:val="1"/>
      <w:numFmt w:val="bullet"/>
      <w:lvlText w:val="o"/>
      <w:lvlJc w:val="left"/>
      <w:pPr>
        <w:ind w:left="6552" w:hanging="360"/>
      </w:pPr>
      <w:rPr>
        <w:rFonts w:ascii="Courier New" w:hAnsi="Courier New" w:cs="Courier New" w:hint="default"/>
      </w:rPr>
    </w:lvl>
    <w:lvl w:ilvl="8" w:tplc="10090005" w:tentative="1">
      <w:start w:val="1"/>
      <w:numFmt w:val="bullet"/>
      <w:lvlText w:val=""/>
      <w:lvlJc w:val="left"/>
      <w:pPr>
        <w:ind w:left="7272" w:hanging="360"/>
      </w:pPr>
      <w:rPr>
        <w:rFonts w:ascii="Wingdings" w:hAnsi="Wingdings" w:hint="default"/>
      </w:rPr>
    </w:lvl>
  </w:abstractNum>
  <w:abstractNum w:abstractNumId="2" w15:restartNumberingAfterBreak="0">
    <w:nsid w:val="076C79CE"/>
    <w:multiLevelType w:val="multilevel"/>
    <w:tmpl w:val="754A0DB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5C75CD"/>
    <w:multiLevelType w:val="hybridMultilevel"/>
    <w:tmpl w:val="AB4885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452315E"/>
    <w:multiLevelType w:val="hybridMultilevel"/>
    <w:tmpl w:val="DB062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1C22FE"/>
    <w:multiLevelType w:val="multilevel"/>
    <w:tmpl w:val="6748A1CE"/>
    <w:lvl w:ilvl="0">
      <w:start w:val="6"/>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8C69F5"/>
    <w:multiLevelType w:val="hybridMultilevel"/>
    <w:tmpl w:val="C7DCE8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F052A"/>
    <w:multiLevelType w:val="multilevel"/>
    <w:tmpl w:val="B6BA9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71B7FF7"/>
    <w:multiLevelType w:val="multilevel"/>
    <w:tmpl w:val="FEF81C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E26992"/>
    <w:multiLevelType w:val="hybridMultilevel"/>
    <w:tmpl w:val="B120A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3E0F53"/>
    <w:multiLevelType w:val="hybridMultilevel"/>
    <w:tmpl w:val="29B6A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B25CEE"/>
    <w:multiLevelType w:val="hybridMultilevel"/>
    <w:tmpl w:val="AF7EF616"/>
    <w:lvl w:ilvl="0" w:tplc="10090001">
      <w:start w:val="1"/>
      <w:numFmt w:val="bullet"/>
      <w:lvlText w:val=""/>
      <w:lvlJc w:val="left"/>
      <w:pPr>
        <w:ind w:left="1112" w:hanging="360"/>
      </w:pPr>
      <w:rPr>
        <w:rFonts w:ascii="Symbol" w:hAnsi="Symbol" w:hint="default"/>
      </w:rPr>
    </w:lvl>
    <w:lvl w:ilvl="1" w:tplc="10090003" w:tentative="1">
      <w:start w:val="1"/>
      <w:numFmt w:val="bullet"/>
      <w:lvlText w:val="o"/>
      <w:lvlJc w:val="left"/>
      <w:pPr>
        <w:ind w:left="1832" w:hanging="360"/>
      </w:pPr>
      <w:rPr>
        <w:rFonts w:ascii="Courier New" w:hAnsi="Courier New" w:cs="Courier New" w:hint="default"/>
      </w:rPr>
    </w:lvl>
    <w:lvl w:ilvl="2" w:tplc="10090005" w:tentative="1">
      <w:start w:val="1"/>
      <w:numFmt w:val="bullet"/>
      <w:lvlText w:val=""/>
      <w:lvlJc w:val="left"/>
      <w:pPr>
        <w:ind w:left="2552" w:hanging="360"/>
      </w:pPr>
      <w:rPr>
        <w:rFonts w:ascii="Wingdings" w:hAnsi="Wingdings" w:hint="default"/>
      </w:rPr>
    </w:lvl>
    <w:lvl w:ilvl="3" w:tplc="10090001" w:tentative="1">
      <w:start w:val="1"/>
      <w:numFmt w:val="bullet"/>
      <w:lvlText w:val=""/>
      <w:lvlJc w:val="left"/>
      <w:pPr>
        <w:ind w:left="3272" w:hanging="360"/>
      </w:pPr>
      <w:rPr>
        <w:rFonts w:ascii="Symbol" w:hAnsi="Symbol" w:hint="default"/>
      </w:rPr>
    </w:lvl>
    <w:lvl w:ilvl="4" w:tplc="10090003" w:tentative="1">
      <w:start w:val="1"/>
      <w:numFmt w:val="bullet"/>
      <w:lvlText w:val="o"/>
      <w:lvlJc w:val="left"/>
      <w:pPr>
        <w:ind w:left="3992" w:hanging="360"/>
      </w:pPr>
      <w:rPr>
        <w:rFonts w:ascii="Courier New" w:hAnsi="Courier New" w:cs="Courier New" w:hint="default"/>
      </w:rPr>
    </w:lvl>
    <w:lvl w:ilvl="5" w:tplc="10090005" w:tentative="1">
      <w:start w:val="1"/>
      <w:numFmt w:val="bullet"/>
      <w:lvlText w:val=""/>
      <w:lvlJc w:val="left"/>
      <w:pPr>
        <w:ind w:left="4712" w:hanging="360"/>
      </w:pPr>
      <w:rPr>
        <w:rFonts w:ascii="Wingdings" w:hAnsi="Wingdings" w:hint="default"/>
      </w:rPr>
    </w:lvl>
    <w:lvl w:ilvl="6" w:tplc="10090001" w:tentative="1">
      <w:start w:val="1"/>
      <w:numFmt w:val="bullet"/>
      <w:lvlText w:val=""/>
      <w:lvlJc w:val="left"/>
      <w:pPr>
        <w:ind w:left="5432" w:hanging="360"/>
      </w:pPr>
      <w:rPr>
        <w:rFonts w:ascii="Symbol" w:hAnsi="Symbol" w:hint="default"/>
      </w:rPr>
    </w:lvl>
    <w:lvl w:ilvl="7" w:tplc="10090003" w:tentative="1">
      <w:start w:val="1"/>
      <w:numFmt w:val="bullet"/>
      <w:lvlText w:val="o"/>
      <w:lvlJc w:val="left"/>
      <w:pPr>
        <w:ind w:left="6152" w:hanging="360"/>
      </w:pPr>
      <w:rPr>
        <w:rFonts w:ascii="Courier New" w:hAnsi="Courier New" w:cs="Courier New" w:hint="default"/>
      </w:rPr>
    </w:lvl>
    <w:lvl w:ilvl="8" w:tplc="10090005" w:tentative="1">
      <w:start w:val="1"/>
      <w:numFmt w:val="bullet"/>
      <w:lvlText w:val=""/>
      <w:lvlJc w:val="left"/>
      <w:pPr>
        <w:ind w:left="6872" w:hanging="360"/>
      </w:pPr>
      <w:rPr>
        <w:rFonts w:ascii="Wingdings" w:hAnsi="Wingdings" w:hint="default"/>
      </w:rPr>
    </w:lvl>
  </w:abstractNum>
  <w:abstractNum w:abstractNumId="12" w15:restartNumberingAfterBreak="0">
    <w:nsid w:val="3DBE51A5"/>
    <w:multiLevelType w:val="multilevel"/>
    <w:tmpl w:val="D25A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D5C8D"/>
    <w:multiLevelType w:val="hybridMultilevel"/>
    <w:tmpl w:val="1F0A4D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445D5F7B"/>
    <w:multiLevelType w:val="multilevel"/>
    <w:tmpl w:val="8BFCA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5120C8"/>
    <w:multiLevelType w:val="hybridMultilevel"/>
    <w:tmpl w:val="B2560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4F122934"/>
    <w:multiLevelType w:val="hybridMultilevel"/>
    <w:tmpl w:val="59CA1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501C070C"/>
    <w:multiLevelType w:val="multilevel"/>
    <w:tmpl w:val="2AF8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0278E7"/>
    <w:multiLevelType w:val="hybridMultilevel"/>
    <w:tmpl w:val="29E82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EEB3800"/>
    <w:multiLevelType w:val="multilevel"/>
    <w:tmpl w:val="C5F60CD4"/>
    <w:lvl w:ilvl="0">
      <w:start w:val="4"/>
      <w:numFmt w:val="decimal"/>
      <w:lvlText w:val="%1.0"/>
      <w:lvlJc w:val="left"/>
      <w:pPr>
        <w:ind w:left="885" w:hanging="885"/>
      </w:pPr>
      <w:rPr>
        <w:rFonts w:hint="default"/>
      </w:rPr>
    </w:lvl>
    <w:lvl w:ilvl="1">
      <w:start w:val="1"/>
      <w:numFmt w:val="decimal"/>
      <w:lvlText w:val="%1.%2"/>
      <w:lvlJc w:val="left"/>
      <w:pPr>
        <w:ind w:left="1605" w:hanging="885"/>
      </w:pPr>
      <w:rPr>
        <w:rFonts w:asciiTheme="majorHAnsi" w:hAnsiTheme="majorHAnsi" w:hint="default"/>
        <w:i w:val="0"/>
      </w:rPr>
    </w:lvl>
    <w:lvl w:ilvl="2">
      <w:start w:val="1"/>
      <w:numFmt w:val="decimal"/>
      <w:lvlText w:val="%1.%2.%3"/>
      <w:lvlJc w:val="left"/>
      <w:pPr>
        <w:ind w:left="2325" w:hanging="885"/>
      </w:pPr>
      <w:rPr>
        <w:rFonts w:hint="default"/>
      </w:rPr>
    </w:lvl>
    <w:lvl w:ilvl="3">
      <w:start w:val="1"/>
      <w:numFmt w:val="decimal"/>
      <w:lvlText w:val="%1.%2.%3.%4"/>
      <w:lvlJc w:val="left"/>
      <w:pPr>
        <w:ind w:left="3045" w:hanging="88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22335D4"/>
    <w:multiLevelType w:val="hybridMultilevel"/>
    <w:tmpl w:val="57BAD690"/>
    <w:lvl w:ilvl="0" w:tplc="B0343750">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B44E2B"/>
    <w:multiLevelType w:val="hybridMultilevel"/>
    <w:tmpl w:val="26A63614"/>
    <w:lvl w:ilvl="0" w:tplc="F64A2958">
      <w:start w:val="1"/>
      <w:numFmt w:val="decimal"/>
      <w:pStyle w:val="AllNumbersList"/>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6E177B"/>
    <w:multiLevelType w:val="hybridMultilevel"/>
    <w:tmpl w:val="ECD8DF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925553"/>
    <w:multiLevelType w:val="hybridMultilevel"/>
    <w:tmpl w:val="310E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E65C67"/>
    <w:multiLevelType w:val="hybridMultilevel"/>
    <w:tmpl w:val="6EBA65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3C80B4D"/>
    <w:multiLevelType w:val="multilevel"/>
    <w:tmpl w:val="C5DE6450"/>
    <w:lvl w:ilvl="0">
      <w:start w:val="1"/>
      <w:numFmt w:val="decimal"/>
      <w:lvlText w:val="%1.0"/>
      <w:lvlJc w:val="left"/>
      <w:pPr>
        <w:ind w:left="885" w:hanging="885"/>
      </w:pPr>
      <w:rPr>
        <w:rFonts w:hint="default"/>
      </w:rPr>
    </w:lvl>
    <w:lvl w:ilvl="1">
      <w:start w:val="1"/>
      <w:numFmt w:val="decimal"/>
      <w:lvlText w:val="%1.%2"/>
      <w:lvlJc w:val="left"/>
      <w:pPr>
        <w:ind w:left="1605" w:hanging="885"/>
      </w:pPr>
      <w:rPr>
        <w:rFonts w:asciiTheme="majorHAnsi" w:hAnsiTheme="majorHAnsi" w:hint="default"/>
        <w:i w:val="0"/>
      </w:rPr>
    </w:lvl>
    <w:lvl w:ilvl="2">
      <w:start w:val="1"/>
      <w:numFmt w:val="decimal"/>
      <w:lvlText w:val="%1.%2.%3"/>
      <w:lvlJc w:val="left"/>
      <w:pPr>
        <w:ind w:left="2325" w:hanging="885"/>
      </w:pPr>
      <w:rPr>
        <w:rFonts w:hint="default"/>
      </w:rPr>
    </w:lvl>
    <w:lvl w:ilvl="3">
      <w:start w:val="1"/>
      <w:numFmt w:val="decimal"/>
      <w:lvlText w:val="%1.%2.%3.%4"/>
      <w:lvlJc w:val="left"/>
      <w:pPr>
        <w:ind w:left="3045" w:hanging="88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5384390"/>
    <w:multiLevelType w:val="multilevel"/>
    <w:tmpl w:val="F8CE9A4E"/>
    <w:lvl w:ilvl="0">
      <w:start w:val="4"/>
      <w:numFmt w:val="decimal"/>
      <w:lvlText w:val="%1.0"/>
      <w:lvlJc w:val="left"/>
      <w:pPr>
        <w:ind w:left="885" w:hanging="885"/>
      </w:pPr>
      <w:rPr>
        <w:rFonts w:hint="default"/>
      </w:rPr>
    </w:lvl>
    <w:lvl w:ilvl="1">
      <w:start w:val="1"/>
      <w:numFmt w:val="decimal"/>
      <w:lvlText w:val="%1.%2"/>
      <w:lvlJc w:val="left"/>
      <w:pPr>
        <w:ind w:left="1605" w:hanging="885"/>
      </w:pPr>
      <w:rPr>
        <w:rFonts w:asciiTheme="majorHAnsi" w:hAnsiTheme="majorHAnsi" w:hint="default"/>
        <w:i w:val="0"/>
      </w:rPr>
    </w:lvl>
    <w:lvl w:ilvl="2">
      <w:start w:val="1"/>
      <w:numFmt w:val="decimal"/>
      <w:lvlText w:val="%1.%2.%3"/>
      <w:lvlJc w:val="left"/>
      <w:pPr>
        <w:ind w:left="2325" w:hanging="885"/>
      </w:pPr>
      <w:rPr>
        <w:rFonts w:hint="default"/>
      </w:rPr>
    </w:lvl>
    <w:lvl w:ilvl="3">
      <w:start w:val="1"/>
      <w:numFmt w:val="decimal"/>
      <w:lvlText w:val="%1.%2.%3.%4"/>
      <w:lvlJc w:val="left"/>
      <w:pPr>
        <w:ind w:left="3045" w:hanging="88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8A5356E"/>
    <w:multiLevelType w:val="hybridMultilevel"/>
    <w:tmpl w:val="1004EA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C6677F"/>
    <w:multiLevelType w:val="hybridMultilevel"/>
    <w:tmpl w:val="96C0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1"/>
  </w:num>
  <w:num w:numId="4">
    <w:abstractNumId w:val="10"/>
  </w:num>
  <w:num w:numId="5">
    <w:abstractNumId w:val="18"/>
  </w:num>
  <w:num w:numId="6">
    <w:abstractNumId w:val="19"/>
  </w:num>
  <w:num w:numId="7">
    <w:abstractNumId w:val="24"/>
  </w:num>
  <w:num w:numId="8">
    <w:abstractNumId w:val="25"/>
  </w:num>
  <w:num w:numId="9">
    <w:abstractNumId w:val="2"/>
  </w:num>
  <w:num w:numId="10">
    <w:abstractNumId w:val="20"/>
  </w:num>
  <w:num w:numId="11">
    <w:abstractNumId w:val="14"/>
  </w:num>
  <w:num w:numId="12">
    <w:abstractNumId w:val="8"/>
  </w:num>
  <w:num w:numId="13">
    <w:abstractNumId w:val="6"/>
  </w:num>
  <w:num w:numId="14">
    <w:abstractNumId w:val="23"/>
  </w:num>
  <w:num w:numId="15">
    <w:abstractNumId w:val="4"/>
  </w:num>
  <w:num w:numId="16">
    <w:abstractNumId w:val="28"/>
  </w:num>
  <w:num w:numId="17">
    <w:abstractNumId w:val="0"/>
  </w:num>
  <w:num w:numId="18">
    <w:abstractNumId w:val="26"/>
  </w:num>
  <w:num w:numId="19">
    <w:abstractNumId w:val="5"/>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2"/>
  </w:num>
  <w:num w:numId="34">
    <w:abstractNumId w:val="27"/>
  </w:num>
  <w:num w:numId="35">
    <w:abstractNumId w:val="22"/>
  </w:num>
  <w:num w:numId="36">
    <w:abstractNumId w:val="16"/>
  </w:num>
  <w:num w:numId="37">
    <w:abstractNumId w:val="13"/>
  </w:num>
  <w:num w:numId="38">
    <w:abstractNumId w:val="15"/>
  </w:num>
  <w:num w:numId="39">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AC"/>
    <w:rsid w:val="00002AF2"/>
    <w:rsid w:val="000063EE"/>
    <w:rsid w:val="000136E3"/>
    <w:rsid w:val="000207A7"/>
    <w:rsid w:val="00021DE4"/>
    <w:rsid w:val="00023A8B"/>
    <w:rsid w:val="00027201"/>
    <w:rsid w:val="00032003"/>
    <w:rsid w:val="00032A37"/>
    <w:rsid w:val="00033364"/>
    <w:rsid w:val="00035BF1"/>
    <w:rsid w:val="000431BA"/>
    <w:rsid w:val="00044EBA"/>
    <w:rsid w:val="0004611E"/>
    <w:rsid w:val="00050197"/>
    <w:rsid w:val="000522E2"/>
    <w:rsid w:val="00052CFF"/>
    <w:rsid w:val="000545AB"/>
    <w:rsid w:val="00055A41"/>
    <w:rsid w:val="000565EF"/>
    <w:rsid w:val="000619DF"/>
    <w:rsid w:val="000646D2"/>
    <w:rsid w:val="00071FCE"/>
    <w:rsid w:val="00075D22"/>
    <w:rsid w:val="0007626C"/>
    <w:rsid w:val="0008094F"/>
    <w:rsid w:val="00080D73"/>
    <w:rsid w:val="0008321E"/>
    <w:rsid w:val="000838F2"/>
    <w:rsid w:val="000850EC"/>
    <w:rsid w:val="00085EF6"/>
    <w:rsid w:val="00086976"/>
    <w:rsid w:val="000878A4"/>
    <w:rsid w:val="00090163"/>
    <w:rsid w:val="000958E8"/>
    <w:rsid w:val="000A37CC"/>
    <w:rsid w:val="000A633D"/>
    <w:rsid w:val="000B62FF"/>
    <w:rsid w:val="000B7232"/>
    <w:rsid w:val="000C29AF"/>
    <w:rsid w:val="000C4790"/>
    <w:rsid w:val="000C4E07"/>
    <w:rsid w:val="000D38E7"/>
    <w:rsid w:val="000D6F8A"/>
    <w:rsid w:val="000E43E3"/>
    <w:rsid w:val="000E54B0"/>
    <w:rsid w:val="000E64F8"/>
    <w:rsid w:val="000F273B"/>
    <w:rsid w:val="000F4473"/>
    <w:rsid w:val="00101282"/>
    <w:rsid w:val="00101518"/>
    <w:rsid w:val="0010152D"/>
    <w:rsid w:val="001016C9"/>
    <w:rsid w:val="001024C3"/>
    <w:rsid w:val="00105635"/>
    <w:rsid w:val="00113D91"/>
    <w:rsid w:val="00115B68"/>
    <w:rsid w:val="0011794C"/>
    <w:rsid w:val="0012090B"/>
    <w:rsid w:val="001209C1"/>
    <w:rsid w:val="00121B36"/>
    <w:rsid w:val="001228CD"/>
    <w:rsid w:val="00123628"/>
    <w:rsid w:val="00124667"/>
    <w:rsid w:val="00125836"/>
    <w:rsid w:val="00125C15"/>
    <w:rsid w:val="00125C99"/>
    <w:rsid w:val="00127497"/>
    <w:rsid w:val="0013307F"/>
    <w:rsid w:val="00142668"/>
    <w:rsid w:val="00142BE0"/>
    <w:rsid w:val="001469C1"/>
    <w:rsid w:val="0015004F"/>
    <w:rsid w:val="0015393E"/>
    <w:rsid w:val="00155F35"/>
    <w:rsid w:val="00156C49"/>
    <w:rsid w:val="00157B53"/>
    <w:rsid w:val="0016138F"/>
    <w:rsid w:val="00161A6D"/>
    <w:rsid w:val="00163AFD"/>
    <w:rsid w:val="0017021C"/>
    <w:rsid w:val="00174FF9"/>
    <w:rsid w:val="00175076"/>
    <w:rsid w:val="001761B1"/>
    <w:rsid w:val="0017731B"/>
    <w:rsid w:val="0018081A"/>
    <w:rsid w:val="00184E84"/>
    <w:rsid w:val="00186F29"/>
    <w:rsid w:val="00190FB5"/>
    <w:rsid w:val="00192AD8"/>
    <w:rsid w:val="001A0107"/>
    <w:rsid w:val="001A212E"/>
    <w:rsid w:val="001A3532"/>
    <w:rsid w:val="001A3C78"/>
    <w:rsid w:val="001A5C66"/>
    <w:rsid w:val="001A5CAB"/>
    <w:rsid w:val="001A5D81"/>
    <w:rsid w:val="001A6F3B"/>
    <w:rsid w:val="001A7A55"/>
    <w:rsid w:val="001A7B05"/>
    <w:rsid w:val="001B6963"/>
    <w:rsid w:val="001C03DC"/>
    <w:rsid w:val="001C5413"/>
    <w:rsid w:val="001C6931"/>
    <w:rsid w:val="001D0633"/>
    <w:rsid w:val="001D105D"/>
    <w:rsid w:val="001D2A8F"/>
    <w:rsid w:val="001D4D40"/>
    <w:rsid w:val="001D75B3"/>
    <w:rsid w:val="001E16AB"/>
    <w:rsid w:val="001E1E95"/>
    <w:rsid w:val="001E3546"/>
    <w:rsid w:val="001E43E3"/>
    <w:rsid w:val="001E5C95"/>
    <w:rsid w:val="001E674C"/>
    <w:rsid w:val="001E69CC"/>
    <w:rsid w:val="001E6A09"/>
    <w:rsid w:val="001E6B7C"/>
    <w:rsid w:val="001F4BAD"/>
    <w:rsid w:val="001F4D4F"/>
    <w:rsid w:val="001F5B08"/>
    <w:rsid w:val="001F6373"/>
    <w:rsid w:val="001F6D6F"/>
    <w:rsid w:val="001F7B76"/>
    <w:rsid w:val="002011F7"/>
    <w:rsid w:val="00201899"/>
    <w:rsid w:val="00202600"/>
    <w:rsid w:val="002039FB"/>
    <w:rsid w:val="00203F66"/>
    <w:rsid w:val="00206076"/>
    <w:rsid w:val="002146E2"/>
    <w:rsid w:val="00217A4A"/>
    <w:rsid w:val="00217B88"/>
    <w:rsid w:val="00220716"/>
    <w:rsid w:val="0022103A"/>
    <w:rsid w:val="002255EA"/>
    <w:rsid w:val="002268C8"/>
    <w:rsid w:val="0023125D"/>
    <w:rsid w:val="0023182B"/>
    <w:rsid w:val="00231D7A"/>
    <w:rsid w:val="002322E1"/>
    <w:rsid w:val="0023456A"/>
    <w:rsid w:val="00236DC8"/>
    <w:rsid w:val="00240347"/>
    <w:rsid w:val="00242A12"/>
    <w:rsid w:val="00250394"/>
    <w:rsid w:val="00252EC2"/>
    <w:rsid w:val="00253871"/>
    <w:rsid w:val="00256960"/>
    <w:rsid w:val="00257612"/>
    <w:rsid w:val="00261051"/>
    <w:rsid w:val="0026117D"/>
    <w:rsid w:val="00262010"/>
    <w:rsid w:val="002623DD"/>
    <w:rsid w:val="0028277B"/>
    <w:rsid w:val="0028351D"/>
    <w:rsid w:val="00283837"/>
    <w:rsid w:val="002863FE"/>
    <w:rsid w:val="00287C3A"/>
    <w:rsid w:val="00287E05"/>
    <w:rsid w:val="0029235D"/>
    <w:rsid w:val="0029244B"/>
    <w:rsid w:val="00292D79"/>
    <w:rsid w:val="00292F5E"/>
    <w:rsid w:val="002A5C1C"/>
    <w:rsid w:val="002A6EF6"/>
    <w:rsid w:val="002B01CE"/>
    <w:rsid w:val="002B250E"/>
    <w:rsid w:val="002B3333"/>
    <w:rsid w:val="002B626F"/>
    <w:rsid w:val="002B7078"/>
    <w:rsid w:val="002C2AC4"/>
    <w:rsid w:val="002C54C9"/>
    <w:rsid w:val="002C72FD"/>
    <w:rsid w:val="002D1167"/>
    <w:rsid w:val="002D1763"/>
    <w:rsid w:val="002D1D58"/>
    <w:rsid w:val="002D2B3A"/>
    <w:rsid w:val="002D3CB8"/>
    <w:rsid w:val="002D44D5"/>
    <w:rsid w:val="002E0B1D"/>
    <w:rsid w:val="002E0C8A"/>
    <w:rsid w:val="002E1589"/>
    <w:rsid w:val="002E233E"/>
    <w:rsid w:val="002E32CE"/>
    <w:rsid w:val="002E3CE5"/>
    <w:rsid w:val="002E4BB8"/>
    <w:rsid w:val="002E507F"/>
    <w:rsid w:val="002F1808"/>
    <w:rsid w:val="002F2397"/>
    <w:rsid w:val="002F4435"/>
    <w:rsid w:val="002F46DE"/>
    <w:rsid w:val="002F4B1D"/>
    <w:rsid w:val="00300D1E"/>
    <w:rsid w:val="00302C1F"/>
    <w:rsid w:val="003057F5"/>
    <w:rsid w:val="0030755F"/>
    <w:rsid w:val="00310945"/>
    <w:rsid w:val="00310E27"/>
    <w:rsid w:val="003116F6"/>
    <w:rsid w:val="00316574"/>
    <w:rsid w:val="0032446F"/>
    <w:rsid w:val="00325EA0"/>
    <w:rsid w:val="00327283"/>
    <w:rsid w:val="003272A0"/>
    <w:rsid w:val="00333E14"/>
    <w:rsid w:val="003344FB"/>
    <w:rsid w:val="00335143"/>
    <w:rsid w:val="00340FE9"/>
    <w:rsid w:val="003417F3"/>
    <w:rsid w:val="00341BEE"/>
    <w:rsid w:val="00341F20"/>
    <w:rsid w:val="00344A1E"/>
    <w:rsid w:val="00350A0C"/>
    <w:rsid w:val="00352E79"/>
    <w:rsid w:val="0035330F"/>
    <w:rsid w:val="003559B6"/>
    <w:rsid w:val="0035796E"/>
    <w:rsid w:val="0036134C"/>
    <w:rsid w:val="00361DB3"/>
    <w:rsid w:val="00364347"/>
    <w:rsid w:val="00366217"/>
    <w:rsid w:val="00376D2A"/>
    <w:rsid w:val="003776F5"/>
    <w:rsid w:val="003876A0"/>
    <w:rsid w:val="00387E84"/>
    <w:rsid w:val="00391F79"/>
    <w:rsid w:val="00395F42"/>
    <w:rsid w:val="003A0145"/>
    <w:rsid w:val="003A086E"/>
    <w:rsid w:val="003A256C"/>
    <w:rsid w:val="003A2A62"/>
    <w:rsid w:val="003B00A1"/>
    <w:rsid w:val="003B1522"/>
    <w:rsid w:val="003B2329"/>
    <w:rsid w:val="003B39FE"/>
    <w:rsid w:val="003B4895"/>
    <w:rsid w:val="003B4A41"/>
    <w:rsid w:val="003B73F9"/>
    <w:rsid w:val="003B7488"/>
    <w:rsid w:val="003B7776"/>
    <w:rsid w:val="003C0896"/>
    <w:rsid w:val="003C0C8F"/>
    <w:rsid w:val="003C2CF1"/>
    <w:rsid w:val="003C3B59"/>
    <w:rsid w:val="003C461F"/>
    <w:rsid w:val="003C4EBC"/>
    <w:rsid w:val="003C6CAE"/>
    <w:rsid w:val="003D0118"/>
    <w:rsid w:val="003D1384"/>
    <w:rsid w:val="003D357E"/>
    <w:rsid w:val="003D3A57"/>
    <w:rsid w:val="003D5CD1"/>
    <w:rsid w:val="003D611D"/>
    <w:rsid w:val="003E1147"/>
    <w:rsid w:val="003E3E93"/>
    <w:rsid w:val="003F0DD3"/>
    <w:rsid w:val="003F1614"/>
    <w:rsid w:val="003F1FC7"/>
    <w:rsid w:val="003F3CF1"/>
    <w:rsid w:val="00405F7F"/>
    <w:rsid w:val="00407DEC"/>
    <w:rsid w:val="00413AB0"/>
    <w:rsid w:val="0042041D"/>
    <w:rsid w:val="00420FAE"/>
    <w:rsid w:val="00426180"/>
    <w:rsid w:val="0042719B"/>
    <w:rsid w:val="00432CEA"/>
    <w:rsid w:val="00433770"/>
    <w:rsid w:val="00433FB9"/>
    <w:rsid w:val="0043700D"/>
    <w:rsid w:val="0043758C"/>
    <w:rsid w:val="00443DB9"/>
    <w:rsid w:val="0044521A"/>
    <w:rsid w:val="00446334"/>
    <w:rsid w:val="004475A8"/>
    <w:rsid w:val="00454B84"/>
    <w:rsid w:val="00456687"/>
    <w:rsid w:val="00456699"/>
    <w:rsid w:val="004679D3"/>
    <w:rsid w:val="00471289"/>
    <w:rsid w:val="00471790"/>
    <w:rsid w:val="004745BF"/>
    <w:rsid w:val="00475317"/>
    <w:rsid w:val="00477B3C"/>
    <w:rsid w:val="00482AC4"/>
    <w:rsid w:val="00484F10"/>
    <w:rsid w:val="00486277"/>
    <w:rsid w:val="00487D48"/>
    <w:rsid w:val="004904FF"/>
    <w:rsid w:val="00490DD2"/>
    <w:rsid w:val="0049218C"/>
    <w:rsid w:val="004931B7"/>
    <w:rsid w:val="00496A71"/>
    <w:rsid w:val="004A0813"/>
    <w:rsid w:val="004A5702"/>
    <w:rsid w:val="004B00BD"/>
    <w:rsid w:val="004B13D0"/>
    <w:rsid w:val="004B31DC"/>
    <w:rsid w:val="004B5211"/>
    <w:rsid w:val="004B58FB"/>
    <w:rsid w:val="004C13D2"/>
    <w:rsid w:val="004C214D"/>
    <w:rsid w:val="004C504F"/>
    <w:rsid w:val="004C57E2"/>
    <w:rsid w:val="004D5827"/>
    <w:rsid w:val="004E2061"/>
    <w:rsid w:val="004E46A4"/>
    <w:rsid w:val="004E5918"/>
    <w:rsid w:val="004E5DB9"/>
    <w:rsid w:val="004F0C19"/>
    <w:rsid w:val="004F23EE"/>
    <w:rsid w:val="004F26A3"/>
    <w:rsid w:val="004F52AD"/>
    <w:rsid w:val="005002FD"/>
    <w:rsid w:val="00504FB3"/>
    <w:rsid w:val="00511027"/>
    <w:rsid w:val="00511CB7"/>
    <w:rsid w:val="0051210E"/>
    <w:rsid w:val="005167DE"/>
    <w:rsid w:val="00524275"/>
    <w:rsid w:val="00526888"/>
    <w:rsid w:val="00527F59"/>
    <w:rsid w:val="005314F0"/>
    <w:rsid w:val="005321A8"/>
    <w:rsid w:val="00534ADE"/>
    <w:rsid w:val="00540F58"/>
    <w:rsid w:val="00542765"/>
    <w:rsid w:val="00545830"/>
    <w:rsid w:val="005477A0"/>
    <w:rsid w:val="00550029"/>
    <w:rsid w:val="00552251"/>
    <w:rsid w:val="00552517"/>
    <w:rsid w:val="00554935"/>
    <w:rsid w:val="005564C4"/>
    <w:rsid w:val="0056033E"/>
    <w:rsid w:val="0056054B"/>
    <w:rsid w:val="00560C18"/>
    <w:rsid w:val="00560D31"/>
    <w:rsid w:val="00566B22"/>
    <w:rsid w:val="00567020"/>
    <w:rsid w:val="00576948"/>
    <w:rsid w:val="005771AE"/>
    <w:rsid w:val="0058072F"/>
    <w:rsid w:val="005849AD"/>
    <w:rsid w:val="00586166"/>
    <w:rsid w:val="005867E2"/>
    <w:rsid w:val="00586BB8"/>
    <w:rsid w:val="00587C64"/>
    <w:rsid w:val="00592099"/>
    <w:rsid w:val="005A0AB4"/>
    <w:rsid w:val="005A5752"/>
    <w:rsid w:val="005A6DA7"/>
    <w:rsid w:val="005A7CF4"/>
    <w:rsid w:val="005B0AEB"/>
    <w:rsid w:val="005C39C4"/>
    <w:rsid w:val="005C63C0"/>
    <w:rsid w:val="005D408C"/>
    <w:rsid w:val="005E1E2B"/>
    <w:rsid w:val="005E248C"/>
    <w:rsid w:val="005F04BF"/>
    <w:rsid w:val="005F07B9"/>
    <w:rsid w:val="005F4BF6"/>
    <w:rsid w:val="00600409"/>
    <w:rsid w:val="00602B02"/>
    <w:rsid w:val="00604AED"/>
    <w:rsid w:val="00604CC5"/>
    <w:rsid w:val="00605679"/>
    <w:rsid w:val="006068F1"/>
    <w:rsid w:val="00610D84"/>
    <w:rsid w:val="006125A9"/>
    <w:rsid w:val="00613FA7"/>
    <w:rsid w:val="00616806"/>
    <w:rsid w:val="00616D5A"/>
    <w:rsid w:val="0062063A"/>
    <w:rsid w:val="0062173F"/>
    <w:rsid w:val="00622272"/>
    <w:rsid w:val="00624223"/>
    <w:rsid w:val="00625CD4"/>
    <w:rsid w:val="00626A6F"/>
    <w:rsid w:val="00627C0C"/>
    <w:rsid w:val="00627F3F"/>
    <w:rsid w:val="0064250C"/>
    <w:rsid w:val="00651641"/>
    <w:rsid w:val="00653E7E"/>
    <w:rsid w:val="0065508C"/>
    <w:rsid w:val="00655408"/>
    <w:rsid w:val="006616A0"/>
    <w:rsid w:val="006636D8"/>
    <w:rsid w:val="00665244"/>
    <w:rsid w:val="00665483"/>
    <w:rsid w:val="00666490"/>
    <w:rsid w:val="006670B2"/>
    <w:rsid w:val="006701BE"/>
    <w:rsid w:val="00670CA2"/>
    <w:rsid w:val="00670E90"/>
    <w:rsid w:val="006732F8"/>
    <w:rsid w:val="006741F8"/>
    <w:rsid w:val="006745C1"/>
    <w:rsid w:val="006775C5"/>
    <w:rsid w:val="00686337"/>
    <w:rsid w:val="00691401"/>
    <w:rsid w:val="00693B94"/>
    <w:rsid w:val="00694A20"/>
    <w:rsid w:val="00695E5C"/>
    <w:rsid w:val="006966AE"/>
    <w:rsid w:val="00696B93"/>
    <w:rsid w:val="006A358A"/>
    <w:rsid w:val="006A7758"/>
    <w:rsid w:val="006B065B"/>
    <w:rsid w:val="006B0C9A"/>
    <w:rsid w:val="006B1A72"/>
    <w:rsid w:val="006B5E28"/>
    <w:rsid w:val="006C4292"/>
    <w:rsid w:val="006C7E2C"/>
    <w:rsid w:val="006D1551"/>
    <w:rsid w:val="006D5396"/>
    <w:rsid w:val="006F3BA4"/>
    <w:rsid w:val="006F58A9"/>
    <w:rsid w:val="006F5AA5"/>
    <w:rsid w:val="007015F1"/>
    <w:rsid w:val="0071218A"/>
    <w:rsid w:val="00716421"/>
    <w:rsid w:val="00724619"/>
    <w:rsid w:val="00726C25"/>
    <w:rsid w:val="007276F0"/>
    <w:rsid w:val="007278B2"/>
    <w:rsid w:val="00731902"/>
    <w:rsid w:val="00732C66"/>
    <w:rsid w:val="00740129"/>
    <w:rsid w:val="007416AC"/>
    <w:rsid w:val="00744B78"/>
    <w:rsid w:val="00747573"/>
    <w:rsid w:val="00747808"/>
    <w:rsid w:val="0075740D"/>
    <w:rsid w:val="00757F75"/>
    <w:rsid w:val="0076150A"/>
    <w:rsid w:val="0076164E"/>
    <w:rsid w:val="0076371F"/>
    <w:rsid w:val="007648BE"/>
    <w:rsid w:val="00766EDF"/>
    <w:rsid w:val="007717B5"/>
    <w:rsid w:val="00772DE4"/>
    <w:rsid w:val="007737FB"/>
    <w:rsid w:val="0077498A"/>
    <w:rsid w:val="0078166E"/>
    <w:rsid w:val="007846CB"/>
    <w:rsid w:val="00784789"/>
    <w:rsid w:val="007854B0"/>
    <w:rsid w:val="00786B5C"/>
    <w:rsid w:val="007904EB"/>
    <w:rsid w:val="0079076A"/>
    <w:rsid w:val="00791218"/>
    <w:rsid w:val="0079224A"/>
    <w:rsid w:val="00795653"/>
    <w:rsid w:val="00796254"/>
    <w:rsid w:val="007977B4"/>
    <w:rsid w:val="007A23FC"/>
    <w:rsid w:val="007A60E6"/>
    <w:rsid w:val="007A6861"/>
    <w:rsid w:val="007B0A9E"/>
    <w:rsid w:val="007B16B7"/>
    <w:rsid w:val="007B1A75"/>
    <w:rsid w:val="007B3415"/>
    <w:rsid w:val="007B709E"/>
    <w:rsid w:val="007C48EE"/>
    <w:rsid w:val="007D0E04"/>
    <w:rsid w:val="007D5A04"/>
    <w:rsid w:val="007D7A19"/>
    <w:rsid w:val="007E0F1B"/>
    <w:rsid w:val="007E0FEA"/>
    <w:rsid w:val="007E124E"/>
    <w:rsid w:val="007E1E8A"/>
    <w:rsid w:val="007E22C2"/>
    <w:rsid w:val="007E2937"/>
    <w:rsid w:val="007E529A"/>
    <w:rsid w:val="007F1ABE"/>
    <w:rsid w:val="007F255C"/>
    <w:rsid w:val="007F42E7"/>
    <w:rsid w:val="007F4DAD"/>
    <w:rsid w:val="007F5708"/>
    <w:rsid w:val="007F6B11"/>
    <w:rsid w:val="007F7F3A"/>
    <w:rsid w:val="0080074A"/>
    <w:rsid w:val="00804DDB"/>
    <w:rsid w:val="00804F80"/>
    <w:rsid w:val="00805D09"/>
    <w:rsid w:val="00815A64"/>
    <w:rsid w:val="008219B5"/>
    <w:rsid w:val="00824DDD"/>
    <w:rsid w:val="008300F9"/>
    <w:rsid w:val="00831549"/>
    <w:rsid w:val="008318C3"/>
    <w:rsid w:val="008374D5"/>
    <w:rsid w:val="0084152F"/>
    <w:rsid w:val="0084200F"/>
    <w:rsid w:val="00842465"/>
    <w:rsid w:val="00853A9C"/>
    <w:rsid w:val="00854150"/>
    <w:rsid w:val="00855370"/>
    <w:rsid w:val="00855AE2"/>
    <w:rsid w:val="00857FF3"/>
    <w:rsid w:val="00862A5D"/>
    <w:rsid w:val="00863CE2"/>
    <w:rsid w:val="00870111"/>
    <w:rsid w:val="00873513"/>
    <w:rsid w:val="00873946"/>
    <w:rsid w:val="00881135"/>
    <w:rsid w:val="0088125B"/>
    <w:rsid w:val="00883414"/>
    <w:rsid w:val="00884C55"/>
    <w:rsid w:val="0088538E"/>
    <w:rsid w:val="008855E5"/>
    <w:rsid w:val="00886575"/>
    <w:rsid w:val="00886B28"/>
    <w:rsid w:val="00887C42"/>
    <w:rsid w:val="008909F3"/>
    <w:rsid w:val="00891292"/>
    <w:rsid w:val="008922E0"/>
    <w:rsid w:val="00892D5E"/>
    <w:rsid w:val="00894402"/>
    <w:rsid w:val="0089725A"/>
    <w:rsid w:val="00897C11"/>
    <w:rsid w:val="008A1C1B"/>
    <w:rsid w:val="008B7B67"/>
    <w:rsid w:val="008B7B9A"/>
    <w:rsid w:val="008C092A"/>
    <w:rsid w:val="008C1E3D"/>
    <w:rsid w:val="008C7681"/>
    <w:rsid w:val="008D0112"/>
    <w:rsid w:val="008D03FB"/>
    <w:rsid w:val="008D13A1"/>
    <w:rsid w:val="008D556B"/>
    <w:rsid w:val="008E20BA"/>
    <w:rsid w:val="008E214C"/>
    <w:rsid w:val="008E3AD5"/>
    <w:rsid w:val="008E658D"/>
    <w:rsid w:val="008E6841"/>
    <w:rsid w:val="008E6862"/>
    <w:rsid w:val="008E6C56"/>
    <w:rsid w:val="008F0693"/>
    <w:rsid w:val="008F2E49"/>
    <w:rsid w:val="00900534"/>
    <w:rsid w:val="00901B55"/>
    <w:rsid w:val="00902AC7"/>
    <w:rsid w:val="0090403D"/>
    <w:rsid w:val="00904DB1"/>
    <w:rsid w:val="00905511"/>
    <w:rsid w:val="009079BC"/>
    <w:rsid w:val="009120CC"/>
    <w:rsid w:val="00914A71"/>
    <w:rsid w:val="009150FA"/>
    <w:rsid w:val="00916835"/>
    <w:rsid w:val="00916A96"/>
    <w:rsid w:val="009201AD"/>
    <w:rsid w:val="00921244"/>
    <w:rsid w:val="00926116"/>
    <w:rsid w:val="00927264"/>
    <w:rsid w:val="00930D7C"/>
    <w:rsid w:val="00931ABE"/>
    <w:rsid w:val="00931D18"/>
    <w:rsid w:val="009325FB"/>
    <w:rsid w:val="00943114"/>
    <w:rsid w:val="009449D3"/>
    <w:rsid w:val="00946341"/>
    <w:rsid w:val="00946BA8"/>
    <w:rsid w:val="00947B66"/>
    <w:rsid w:val="00950E24"/>
    <w:rsid w:val="00951232"/>
    <w:rsid w:val="00954973"/>
    <w:rsid w:val="00954BEB"/>
    <w:rsid w:val="00955CEE"/>
    <w:rsid w:val="009611F9"/>
    <w:rsid w:val="00965010"/>
    <w:rsid w:val="00967318"/>
    <w:rsid w:val="009711F0"/>
    <w:rsid w:val="009722D9"/>
    <w:rsid w:val="009751C2"/>
    <w:rsid w:val="00980993"/>
    <w:rsid w:val="009824B7"/>
    <w:rsid w:val="0098293D"/>
    <w:rsid w:val="009A0CEE"/>
    <w:rsid w:val="009A4F09"/>
    <w:rsid w:val="009A631B"/>
    <w:rsid w:val="009A65FA"/>
    <w:rsid w:val="009B3F5E"/>
    <w:rsid w:val="009B5127"/>
    <w:rsid w:val="009C0159"/>
    <w:rsid w:val="009C0743"/>
    <w:rsid w:val="009C198B"/>
    <w:rsid w:val="009C77E5"/>
    <w:rsid w:val="009D245B"/>
    <w:rsid w:val="009D5A5D"/>
    <w:rsid w:val="009E0B93"/>
    <w:rsid w:val="009E44AB"/>
    <w:rsid w:val="009F111C"/>
    <w:rsid w:val="009F245F"/>
    <w:rsid w:val="009F52EF"/>
    <w:rsid w:val="009F5723"/>
    <w:rsid w:val="009F67EB"/>
    <w:rsid w:val="009F6824"/>
    <w:rsid w:val="009F77D4"/>
    <w:rsid w:val="00A01105"/>
    <w:rsid w:val="00A01338"/>
    <w:rsid w:val="00A03733"/>
    <w:rsid w:val="00A0443F"/>
    <w:rsid w:val="00A04B01"/>
    <w:rsid w:val="00A04E3E"/>
    <w:rsid w:val="00A04EFB"/>
    <w:rsid w:val="00A06E48"/>
    <w:rsid w:val="00A07BCC"/>
    <w:rsid w:val="00A135C5"/>
    <w:rsid w:val="00A20034"/>
    <w:rsid w:val="00A246F2"/>
    <w:rsid w:val="00A426E2"/>
    <w:rsid w:val="00A4421E"/>
    <w:rsid w:val="00A45CDF"/>
    <w:rsid w:val="00A541F9"/>
    <w:rsid w:val="00A60826"/>
    <w:rsid w:val="00A81546"/>
    <w:rsid w:val="00A86082"/>
    <w:rsid w:val="00A869E1"/>
    <w:rsid w:val="00A907E3"/>
    <w:rsid w:val="00A91CFE"/>
    <w:rsid w:val="00A934B7"/>
    <w:rsid w:val="00A94BE5"/>
    <w:rsid w:val="00A94F84"/>
    <w:rsid w:val="00AA00B2"/>
    <w:rsid w:val="00AA1ADB"/>
    <w:rsid w:val="00AA45EE"/>
    <w:rsid w:val="00AB06AC"/>
    <w:rsid w:val="00AB43F6"/>
    <w:rsid w:val="00AB7AAF"/>
    <w:rsid w:val="00AC11DA"/>
    <w:rsid w:val="00AC44D2"/>
    <w:rsid w:val="00AC4902"/>
    <w:rsid w:val="00AC6CA5"/>
    <w:rsid w:val="00AC72EE"/>
    <w:rsid w:val="00AD1450"/>
    <w:rsid w:val="00AD1939"/>
    <w:rsid w:val="00AD670F"/>
    <w:rsid w:val="00AE4844"/>
    <w:rsid w:val="00AF13BA"/>
    <w:rsid w:val="00AF17F7"/>
    <w:rsid w:val="00AF24D6"/>
    <w:rsid w:val="00AF49A9"/>
    <w:rsid w:val="00B0342A"/>
    <w:rsid w:val="00B1087A"/>
    <w:rsid w:val="00B11142"/>
    <w:rsid w:val="00B13D55"/>
    <w:rsid w:val="00B140E3"/>
    <w:rsid w:val="00B15ED6"/>
    <w:rsid w:val="00B16D12"/>
    <w:rsid w:val="00B212A0"/>
    <w:rsid w:val="00B217B7"/>
    <w:rsid w:val="00B26456"/>
    <w:rsid w:val="00B34347"/>
    <w:rsid w:val="00B432E2"/>
    <w:rsid w:val="00B44169"/>
    <w:rsid w:val="00B441E1"/>
    <w:rsid w:val="00B47058"/>
    <w:rsid w:val="00B538E0"/>
    <w:rsid w:val="00B62A18"/>
    <w:rsid w:val="00B62E7B"/>
    <w:rsid w:val="00B664A1"/>
    <w:rsid w:val="00B6711D"/>
    <w:rsid w:val="00B70AD6"/>
    <w:rsid w:val="00B71304"/>
    <w:rsid w:val="00B726A4"/>
    <w:rsid w:val="00B72B8E"/>
    <w:rsid w:val="00B72D71"/>
    <w:rsid w:val="00B73C01"/>
    <w:rsid w:val="00B74141"/>
    <w:rsid w:val="00B74336"/>
    <w:rsid w:val="00B76C7C"/>
    <w:rsid w:val="00B772E5"/>
    <w:rsid w:val="00B805FA"/>
    <w:rsid w:val="00B83C7A"/>
    <w:rsid w:val="00B83D8E"/>
    <w:rsid w:val="00B83F0A"/>
    <w:rsid w:val="00B8448B"/>
    <w:rsid w:val="00B85115"/>
    <w:rsid w:val="00B91951"/>
    <w:rsid w:val="00B94391"/>
    <w:rsid w:val="00B94A80"/>
    <w:rsid w:val="00B974DE"/>
    <w:rsid w:val="00BA1AA5"/>
    <w:rsid w:val="00BA1AD1"/>
    <w:rsid w:val="00BA5E1A"/>
    <w:rsid w:val="00BA6EA4"/>
    <w:rsid w:val="00BB358C"/>
    <w:rsid w:val="00BB50A5"/>
    <w:rsid w:val="00BB5379"/>
    <w:rsid w:val="00BC04D8"/>
    <w:rsid w:val="00BC5E51"/>
    <w:rsid w:val="00BC6010"/>
    <w:rsid w:val="00BC7891"/>
    <w:rsid w:val="00BD4335"/>
    <w:rsid w:val="00BD447E"/>
    <w:rsid w:val="00BE07FB"/>
    <w:rsid w:val="00BE21B7"/>
    <w:rsid w:val="00BE46E6"/>
    <w:rsid w:val="00BF07E6"/>
    <w:rsid w:val="00BF1339"/>
    <w:rsid w:val="00BF7F49"/>
    <w:rsid w:val="00C000A4"/>
    <w:rsid w:val="00C0076D"/>
    <w:rsid w:val="00C013FB"/>
    <w:rsid w:val="00C02236"/>
    <w:rsid w:val="00C11075"/>
    <w:rsid w:val="00C12F3D"/>
    <w:rsid w:val="00C1315C"/>
    <w:rsid w:val="00C16D2D"/>
    <w:rsid w:val="00C20CB2"/>
    <w:rsid w:val="00C21590"/>
    <w:rsid w:val="00C21ACC"/>
    <w:rsid w:val="00C21EB0"/>
    <w:rsid w:val="00C22360"/>
    <w:rsid w:val="00C22A8C"/>
    <w:rsid w:val="00C24105"/>
    <w:rsid w:val="00C24524"/>
    <w:rsid w:val="00C32D01"/>
    <w:rsid w:val="00C3362F"/>
    <w:rsid w:val="00C354EF"/>
    <w:rsid w:val="00C3645A"/>
    <w:rsid w:val="00C37879"/>
    <w:rsid w:val="00C469C1"/>
    <w:rsid w:val="00C5649F"/>
    <w:rsid w:val="00C56F7B"/>
    <w:rsid w:val="00C579F5"/>
    <w:rsid w:val="00C6523F"/>
    <w:rsid w:val="00C65C38"/>
    <w:rsid w:val="00C666B0"/>
    <w:rsid w:val="00C70E94"/>
    <w:rsid w:val="00C72643"/>
    <w:rsid w:val="00C732C7"/>
    <w:rsid w:val="00C736D2"/>
    <w:rsid w:val="00C800B2"/>
    <w:rsid w:val="00C8426E"/>
    <w:rsid w:val="00C8572B"/>
    <w:rsid w:val="00C91B20"/>
    <w:rsid w:val="00C91FB2"/>
    <w:rsid w:val="00C928B9"/>
    <w:rsid w:val="00C93963"/>
    <w:rsid w:val="00C94DFE"/>
    <w:rsid w:val="00CA034A"/>
    <w:rsid w:val="00CA1DCE"/>
    <w:rsid w:val="00CA2962"/>
    <w:rsid w:val="00CA3A94"/>
    <w:rsid w:val="00CA71FF"/>
    <w:rsid w:val="00CB1B83"/>
    <w:rsid w:val="00CB3CD1"/>
    <w:rsid w:val="00CB7347"/>
    <w:rsid w:val="00CD0123"/>
    <w:rsid w:val="00CD015E"/>
    <w:rsid w:val="00CD4BBF"/>
    <w:rsid w:val="00CD599B"/>
    <w:rsid w:val="00CD723E"/>
    <w:rsid w:val="00CE4814"/>
    <w:rsid w:val="00CE4D0E"/>
    <w:rsid w:val="00CE6D6A"/>
    <w:rsid w:val="00CE713F"/>
    <w:rsid w:val="00CF2DC0"/>
    <w:rsid w:val="00CF4B6F"/>
    <w:rsid w:val="00CF6C72"/>
    <w:rsid w:val="00CF7AB3"/>
    <w:rsid w:val="00D014D0"/>
    <w:rsid w:val="00D02025"/>
    <w:rsid w:val="00D027B3"/>
    <w:rsid w:val="00D0376F"/>
    <w:rsid w:val="00D04F6F"/>
    <w:rsid w:val="00D070D5"/>
    <w:rsid w:val="00D108BD"/>
    <w:rsid w:val="00D11D06"/>
    <w:rsid w:val="00D16B52"/>
    <w:rsid w:val="00D22A1D"/>
    <w:rsid w:val="00D3445B"/>
    <w:rsid w:val="00D35AF1"/>
    <w:rsid w:val="00D37F66"/>
    <w:rsid w:val="00D40144"/>
    <w:rsid w:val="00D40647"/>
    <w:rsid w:val="00D41D6C"/>
    <w:rsid w:val="00D430AB"/>
    <w:rsid w:val="00D4521A"/>
    <w:rsid w:val="00D46661"/>
    <w:rsid w:val="00D46EB3"/>
    <w:rsid w:val="00D4726F"/>
    <w:rsid w:val="00D531CF"/>
    <w:rsid w:val="00D55D82"/>
    <w:rsid w:val="00D56896"/>
    <w:rsid w:val="00D57D59"/>
    <w:rsid w:val="00D62AC9"/>
    <w:rsid w:val="00D63C64"/>
    <w:rsid w:val="00D64C94"/>
    <w:rsid w:val="00D666EB"/>
    <w:rsid w:val="00D72F0D"/>
    <w:rsid w:val="00D73A4F"/>
    <w:rsid w:val="00D8693F"/>
    <w:rsid w:val="00D932CB"/>
    <w:rsid w:val="00D94727"/>
    <w:rsid w:val="00D94C79"/>
    <w:rsid w:val="00D9751A"/>
    <w:rsid w:val="00DA7493"/>
    <w:rsid w:val="00DB07F2"/>
    <w:rsid w:val="00DB2E2D"/>
    <w:rsid w:val="00DB4723"/>
    <w:rsid w:val="00DB53AF"/>
    <w:rsid w:val="00DB53B5"/>
    <w:rsid w:val="00DC26FB"/>
    <w:rsid w:val="00DC43C7"/>
    <w:rsid w:val="00DC62C1"/>
    <w:rsid w:val="00DC6612"/>
    <w:rsid w:val="00DD1240"/>
    <w:rsid w:val="00DD1375"/>
    <w:rsid w:val="00DD17C8"/>
    <w:rsid w:val="00DD26FC"/>
    <w:rsid w:val="00DD671B"/>
    <w:rsid w:val="00DE2F65"/>
    <w:rsid w:val="00DE3185"/>
    <w:rsid w:val="00DE499C"/>
    <w:rsid w:val="00DE4D01"/>
    <w:rsid w:val="00DE6E90"/>
    <w:rsid w:val="00DF0374"/>
    <w:rsid w:val="00DF591E"/>
    <w:rsid w:val="00DF5C5B"/>
    <w:rsid w:val="00E00C7F"/>
    <w:rsid w:val="00E012ED"/>
    <w:rsid w:val="00E04EB1"/>
    <w:rsid w:val="00E16149"/>
    <w:rsid w:val="00E206D9"/>
    <w:rsid w:val="00E23537"/>
    <w:rsid w:val="00E26BFD"/>
    <w:rsid w:val="00E30B93"/>
    <w:rsid w:val="00E3286A"/>
    <w:rsid w:val="00E32AD3"/>
    <w:rsid w:val="00E410B8"/>
    <w:rsid w:val="00E43529"/>
    <w:rsid w:val="00E43AC8"/>
    <w:rsid w:val="00E57086"/>
    <w:rsid w:val="00E605D9"/>
    <w:rsid w:val="00E606FC"/>
    <w:rsid w:val="00E61847"/>
    <w:rsid w:val="00E61DEA"/>
    <w:rsid w:val="00E63AE2"/>
    <w:rsid w:val="00E64395"/>
    <w:rsid w:val="00E64DF4"/>
    <w:rsid w:val="00E65FE3"/>
    <w:rsid w:val="00E71782"/>
    <w:rsid w:val="00E728C9"/>
    <w:rsid w:val="00E72BE7"/>
    <w:rsid w:val="00E73B40"/>
    <w:rsid w:val="00E756B8"/>
    <w:rsid w:val="00E77A2C"/>
    <w:rsid w:val="00E81E8D"/>
    <w:rsid w:val="00E847F8"/>
    <w:rsid w:val="00E9070D"/>
    <w:rsid w:val="00E93CD1"/>
    <w:rsid w:val="00E96843"/>
    <w:rsid w:val="00EA02F5"/>
    <w:rsid w:val="00EB4E38"/>
    <w:rsid w:val="00EB6C13"/>
    <w:rsid w:val="00EB758A"/>
    <w:rsid w:val="00EB76D9"/>
    <w:rsid w:val="00EC1E7D"/>
    <w:rsid w:val="00EC530C"/>
    <w:rsid w:val="00EC788B"/>
    <w:rsid w:val="00ED423E"/>
    <w:rsid w:val="00ED7CDA"/>
    <w:rsid w:val="00EE036E"/>
    <w:rsid w:val="00EE120A"/>
    <w:rsid w:val="00EE4069"/>
    <w:rsid w:val="00EE4B95"/>
    <w:rsid w:val="00EE717D"/>
    <w:rsid w:val="00F010F4"/>
    <w:rsid w:val="00F01304"/>
    <w:rsid w:val="00F02A6E"/>
    <w:rsid w:val="00F03314"/>
    <w:rsid w:val="00F05816"/>
    <w:rsid w:val="00F07447"/>
    <w:rsid w:val="00F0760C"/>
    <w:rsid w:val="00F106CB"/>
    <w:rsid w:val="00F11A5E"/>
    <w:rsid w:val="00F149DB"/>
    <w:rsid w:val="00F156DF"/>
    <w:rsid w:val="00F24A38"/>
    <w:rsid w:val="00F24A6D"/>
    <w:rsid w:val="00F30355"/>
    <w:rsid w:val="00F33982"/>
    <w:rsid w:val="00F33F87"/>
    <w:rsid w:val="00F42418"/>
    <w:rsid w:val="00F448C3"/>
    <w:rsid w:val="00F46E9C"/>
    <w:rsid w:val="00F5156E"/>
    <w:rsid w:val="00F53E5C"/>
    <w:rsid w:val="00F57C3B"/>
    <w:rsid w:val="00F610B4"/>
    <w:rsid w:val="00F61F65"/>
    <w:rsid w:val="00F623FE"/>
    <w:rsid w:val="00F650BC"/>
    <w:rsid w:val="00F80C82"/>
    <w:rsid w:val="00F81145"/>
    <w:rsid w:val="00F84520"/>
    <w:rsid w:val="00F85D9B"/>
    <w:rsid w:val="00F86224"/>
    <w:rsid w:val="00F95262"/>
    <w:rsid w:val="00F95CAF"/>
    <w:rsid w:val="00F9663D"/>
    <w:rsid w:val="00FA0CAD"/>
    <w:rsid w:val="00FA22D7"/>
    <w:rsid w:val="00FA53B5"/>
    <w:rsid w:val="00FA591A"/>
    <w:rsid w:val="00FA6C10"/>
    <w:rsid w:val="00FA73E3"/>
    <w:rsid w:val="00FA77FE"/>
    <w:rsid w:val="00FB55C9"/>
    <w:rsid w:val="00FB6447"/>
    <w:rsid w:val="00FB6566"/>
    <w:rsid w:val="00FB6D2B"/>
    <w:rsid w:val="00FB7D28"/>
    <w:rsid w:val="00FC1AB2"/>
    <w:rsid w:val="00FC32B5"/>
    <w:rsid w:val="00FC3427"/>
    <w:rsid w:val="00FC415A"/>
    <w:rsid w:val="00FC5CC1"/>
    <w:rsid w:val="00FC6ACF"/>
    <w:rsid w:val="00FC7088"/>
    <w:rsid w:val="00FD0145"/>
    <w:rsid w:val="00FD03C8"/>
    <w:rsid w:val="00FD14E4"/>
    <w:rsid w:val="00FD438B"/>
    <w:rsid w:val="00FD5A41"/>
    <w:rsid w:val="00FE0B24"/>
    <w:rsid w:val="00FE1F28"/>
    <w:rsid w:val="00FE5CF0"/>
    <w:rsid w:val="00FF213B"/>
    <w:rsid w:val="00FF2EFF"/>
    <w:rsid w:val="00FF30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B77656"/>
  <w15:docId w15:val="{CD6329D8-5B5A-4300-A082-F9372D3A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18C"/>
  </w:style>
  <w:style w:type="paragraph" w:styleId="Heading1">
    <w:name w:val="heading 1"/>
    <w:basedOn w:val="Normal"/>
    <w:next w:val="Normal"/>
    <w:link w:val="Heading1Char"/>
    <w:uiPriority w:val="9"/>
    <w:qFormat/>
    <w:rsid w:val="007C48E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C48E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C48E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C48E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C48E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C48E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C48E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C48E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C48E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8E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C48E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C48EE"/>
    <w:rPr>
      <w:rFonts w:asciiTheme="majorHAnsi" w:eastAsiaTheme="majorEastAsia" w:hAnsiTheme="majorHAnsi" w:cstheme="majorBidi"/>
      <w:b/>
      <w:bCs/>
    </w:rPr>
  </w:style>
  <w:style w:type="paragraph" w:styleId="Title">
    <w:name w:val="Title"/>
    <w:basedOn w:val="Normal"/>
    <w:next w:val="Normal"/>
    <w:link w:val="TitleChar"/>
    <w:uiPriority w:val="10"/>
    <w:qFormat/>
    <w:rsid w:val="007C48E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C48E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C48E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C48EE"/>
    <w:rPr>
      <w:rFonts w:asciiTheme="majorHAnsi" w:eastAsiaTheme="majorEastAsia" w:hAnsiTheme="majorHAnsi" w:cstheme="majorBidi"/>
      <w:i/>
      <w:iCs/>
      <w:spacing w:val="13"/>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basedOn w:val="Normal"/>
    <w:link w:val="NoSpacingChar"/>
    <w:uiPriority w:val="1"/>
    <w:qFormat/>
    <w:rsid w:val="007C48EE"/>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sid w:val="007C48E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C48E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C48E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C48E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C48E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C48E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pPr>
      <w:spacing w:line="240" w:lineRule="auto"/>
    </w:pPr>
    <w:rPr>
      <w:b/>
      <w:bCs/>
      <w:color w:val="1F497D" w:themeColor="text2"/>
      <w:sz w:val="18"/>
      <w:szCs w:val="18"/>
    </w:rPr>
  </w:style>
  <w:style w:type="character" w:styleId="Strong">
    <w:name w:val="Strong"/>
    <w:uiPriority w:val="22"/>
    <w:qFormat/>
    <w:rsid w:val="007C48EE"/>
    <w:rPr>
      <w:b/>
      <w:bCs/>
    </w:rPr>
  </w:style>
  <w:style w:type="character" w:styleId="Emphasis">
    <w:name w:val="Emphasis"/>
    <w:aliases w:val="Number list"/>
    <w:qFormat/>
    <w:rsid w:val="007C48EE"/>
    <w:rPr>
      <w:b/>
      <w:bCs/>
      <w:i/>
      <w:iCs/>
      <w:spacing w:val="10"/>
      <w:bdr w:val="none" w:sz="0" w:space="0" w:color="auto"/>
      <w:shd w:val="clear" w:color="auto" w:fill="auto"/>
    </w:rPr>
  </w:style>
  <w:style w:type="paragraph" w:styleId="ListParagraph">
    <w:name w:val="List Paragraph"/>
    <w:aliases w:val="Bullet list"/>
    <w:basedOn w:val="Normal"/>
    <w:link w:val="ListParagraphChar"/>
    <w:uiPriority w:val="34"/>
    <w:qFormat/>
    <w:rsid w:val="007C48EE"/>
    <w:pPr>
      <w:ind w:left="720"/>
      <w:contextualSpacing/>
    </w:pPr>
  </w:style>
  <w:style w:type="paragraph" w:styleId="Quote">
    <w:name w:val="Quote"/>
    <w:basedOn w:val="Normal"/>
    <w:next w:val="Normal"/>
    <w:link w:val="QuoteChar"/>
    <w:uiPriority w:val="29"/>
    <w:qFormat/>
    <w:rsid w:val="007C48EE"/>
    <w:pPr>
      <w:spacing w:before="200" w:after="0"/>
      <w:ind w:left="360" w:right="360"/>
    </w:pPr>
    <w:rPr>
      <w:i/>
      <w:iCs/>
    </w:rPr>
  </w:style>
  <w:style w:type="character" w:customStyle="1" w:styleId="QuoteChar">
    <w:name w:val="Quote Char"/>
    <w:basedOn w:val="DefaultParagraphFont"/>
    <w:link w:val="Quote"/>
    <w:uiPriority w:val="29"/>
    <w:rsid w:val="007C48EE"/>
    <w:rPr>
      <w:i/>
      <w:iCs/>
    </w:rPr>
  </w:style>
  <w:style w:type="paragraph" w:styleId="IntenseQuote">
    <w:name w:val="Intense Quote"/>
    <w:basedOn w:val="Normal"/>
    <w:next w:val="Normal"/>
    <w:link w:val="IntenseQuoteChar"/>
    <w:uiPriority w:val="30"/>
    <w:qFormat/>
    <w:rsid w:val="007C48E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C48EE"/>
    <w:rPr>
      <w:b/>
      <w:bCs/>
      <w:i/>
      <w:iCs/>
    </w:rPr>
  </w:style>
  <w:style w:type="character" w:styleId="SubtleEmphasis">
    <w:name w:val="Subtle Emphasis"/>
    <w:uiPriority w:val="19"/>
    <w:qFormat/>
    <w:rsid w:val="007C48EE"/>
    <w:rPr>
      <w:i/>
      <w:iCs/>
    </w:rPr>
  </w:style>
  <w:style w:type="character" w:styleId="IntenseEmphasis">
    <w:name w:val="Intense Emphasis"/>
    <w:uiPriority w:val="21"/>
    <w:qFormat/>
    <w:rsid w:val="007C48EE"/>
    <w:rPr>
      <w:b/>
      <w:bCs/>
    </w:rPr>
  </w:style>
  <w:style w:type="character" w:styleId="SubtleReference">
    <w:name w:val="Subtle Reference"/>
    <w:uiPriority w:val="31"/>
    <w:qFormat/>
    <w:rsid w:val="007C48EE"/>
    <w:rPr>
      <w:smallCaps/>
    </w:rPr>
  </w:style>
  <w:style w:type="character" w:styleId="IntenseReference">
    <w:name w:val="Intense Reference"/>
    <w:uiPriority w:val="32"/>
    <w:qFormat/>
    <w:rsid w:val="007C48EE"/>
    <w:rPr>
      <w:smallCaps/>
      <w:spacing w:val="5"/>
      <w:u w:val="single"/>
    </w:rPr>
  </w:style>
  <w:style w:type="character" w:styleId="BookTitle">
    <w:name w:val="Book Title"/>
    <w:uiPriority w:val="33"/>
    <w:qFormat/>
    <w:rsid w:val="007C48EE"/>
    <w:rPr>
      <w:i/>
      <w:iCs/>
      <w:smallCaps/>
      <w:spacing w:val="5"/>
    </w:rPr>
  </w:style>
  <w:style w:type="paragraph" w:styleId="TOCHeading">
    <w:name w:val="TOC Heading"/>
    <w:basedOn w:val="Heading1"/>
    <w:next w:val="Normal"/>
    <w:uiPriority w:val="39"/>
    <w:semiHidden/>
    <w:unhideWhenUsed/>
    <w:qFormat/>
    <w:rsid w:val="007C48EE"/>
    <w:pPr>
      <w:outlineLvl w:val="9"/>
    </w:pPr>
    <w:rPr>
      <w:lang w:bidi="en-US"/>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ListParagraphChar">
    <w:name w:val="List Paragraph Char"/>
    <w:aliases w:val="Bullet list Char"/>
    <w:link w:val="ListParagraph"/>
    <w:uiPriority w:val="34"/>
    <w:rsid w:val="00AB06AC"/>
  </w:style>
  <w:style w:type="character" w:styleId="CommentReference">
    <w:name w:val="annotation reference"/>
    <w:rsid w:val="00AB06AC"/>
    <w:rPr>
      <w:sz w:val="16"/>
      <w:szCs w:val="16"/>
    </w:rPr>
  </w:style>
  <w:style w:type="paragraph" w:styleId="CommentText">
    <w:name w:val="annotation text"/>
    <w:basedOn w:val="Normal"/>
    <w:link w:val="CommentTextChar"/>
    <w:rsid w:val="00AB06AC"/>
    <w:pPr>
      <w:widowControl w:val="0"/>
      <w:tabs>
        <w:tab w:val="left" w:pos="720"/>
      </w:tabs>
      <w:spacing w:before="120" w:after="120" w:line="240" w:lineRule="auto"/>
      <w:ind w:left="720"/>
    </w:pPr>
    <w:rPr>
      <w:rFonts w:ascii="Calibri" w:eastAsia="Times New Roman" w:hAnsi="Calibri" w:cs="Calibri"/>
      <w:sz w:val="20"/>
      <w:szCs w:val="20"/>
      <w:lang w:val="en-CA"/>
    </w:rPr>
  </w:style>
  <w:style w:type="character" w:customStyle="1" w:styleId="CommentTextChar">
    <w:name w:val="Comment Text Char"/>
    <w:basedOn w:val="DefaultParagraphFont"/>
    <w:link w:val="CommentText"/>
    <w:rsid w:val="00AB06AC"/>
    <w:rPr>
      <w:rFonts w:ascii="Calibri" w:eastAsia="Times New Roman" w:hAnsi="Calibri" w:cs="Calibri"/>
      <w:sz w:val="20"/>
      <w:szCs w:val="20"/>
      <w:lang w:val="en-CA"/>
    </w:rPr>
  </w:style>
  <w:style w:type="paragraph" w:customStyle="1" w:styleId="Tableheading">
    <w:name w:val="Table heading"/>
    <w:basedOn w:val="Normal"/>
    <w:link w:val="TableheadingChar"/>
    <w:rsid w:val="00FE5CF0"/>
    <w:pPr>
      <w:widowControl w:val="0"/>
      <w:tabs>
        <w:tab w:val="left" w:pos="720"/>
      </w:tabs>
      <w:spacing w:before="120" w:after="120" w:line="240" w:lineRule="auto"/>
      <w:ind w:left="144"/>
    </w:pPr>
    <w:rPr>
      <w:rFonts w:ascii="Calibri" w:eastAsia="Times New Roman" w:hAnsi="Calibri" w:cs="Calibri"/>
      <w:b/>
      <w:sz w:val="24"/>
      <w:szCs w:val="24"/>
      <w:lang w:val="en-CA"/>
    </w:rPr>
  </w:style>
  <w:style w:type="paragraph" w:customStyle="1" w:styleId="Tablebullet">
    <w:name w:val="Table bullet"/>
    <w:basedOn w:val="Normal"/>
    <w:link w:val="TablebulletChar"/>
    <w:qFormat/>
    <w:rsid w:val="00FE5CF0"/>
    <w:pPr>
      <w:widowControl w:val="0"/>
      <w:numPr>
        <w:numId w:val="1"/>
      </w:numPr>
      <w:tabs>
        <w:tab w:val="left" w:pos="432"/>
      </w:tabs>
      <w:spacing w:before="60" w:after="60" w:line="240" w:lineRule="auto"/>
    </w:pPr>
    <w:rPr>
      <w:rFonts w:ascii="Calibri" w:eastAsia="Times New Roman" w:hAnsi="Calibri" w:cs="Calibri"/>
      <w:sz w:val="24"/>
      <w:szCs w:val="24"/>
      <w:lang w:val="en-CA"/>
    </w:rPr>
  </w:style>
  <w:style w:type="character" w:customStyle="1" w:styleId="TableheadingChar">
    <w:name w:val="Table heading Char"/>
    <w:link w:val="Tableheading"/>
    <w:rsid w:val="00FE5CF0"/>
    <w:rPr>
      <w:rFonts w:ascii="Calibri" w:eastAsia="Times New Roman" w:hAnsi="Calibri" w:cs="Calibri"/>
      <w:b/>
      <w:sz w:val="24"/>
      <w:szCs w:val="24"/>
      <w:lang w:val="en-CA"/>
    </w:rPr>
  </w:style>
  <w:style w:type="character" w:customStyle="1" w:styleId="TablebulletChar">
    <w:name w:val="Table bullet Char"/>
    <w:link w:val="Tablebullet"/>
    <w:rsid w:val="00FE5CF0"/>
    <w:rPr>
      <w:rFonts w:ascii="Calibri" w:eastAsia="Times New Roman" w:hAnsi="Calibri" w:cs="Calibri"/>
      <w:sz w:val="24"/>
      <w:szCs w:val="24"/>
      <w:lang w:val="en-CA"/>
    </w:rPr>
  </w:style>
  <w:style w:type="paragraph" w:customStyle="1" w:styleId="H3">
    <w:name w:val="H3"/>
    <w:basedOn w:val="Normal"/>
    <w:link w:val="H3Char"/>
    <w:rsid w:val="00F05816"/>
    <w:pPr>
      <w:widowControl w:val="0"/>
      <w:tabs>
        <w:tab w:val="left" w:pos="720"/>
      </w:tabs>
      <w:spacing w:before="360" w:after="120" w:line="240" w:lineRule="auto"/>
      <w:ind w:left="720" w:hanging="720"/>
    </w:pPr>
    <w:rPr>
      <w:rFonts w:ascii="Calibri" w:eastAsia="Times New Roman" w:hAnsi="Calibri" w:cs="Calibri"/>
      <w:b/>
      <w:color w:val="995917"/>
      <w:spacing w:val="10"/>
      <w:sz w:val="25"/>
      <w:szCs w:val="25"/>
      <w:lang w:val="en-CA"/>
    </w:rPr>
  </w:style>
  <w:style w:type="character" w:customStyle="1" w:styleId="H3Char">
    <w:name w:val="H3 Char"/>
    <w:link w:val="H3"/>
    <w:rsid w:val="00F05816"/>
    <w:rPr>
      <w:rFonts w:ascii="Calibri" w:eastAsia="Times New Roman" w:hAnsi="Calibri" w:cs="Calibri"/>
      <w:b/>
      <w:color w:val="995917"/>
      <w:spacing w:val="10"/>
      <w:sz w:val="25"/>
      <w:szCs w:val="25"/>
      <w:lang w:val="en-CA"/>
    </w:rPr>
  </w:style>
  <w:style w:type="table" w:styleId="TableGrid">
    <w:name w:val="Table Grid"/>
    <w:basedOn w:val="TableNormal"/>
    <w:uiPriority w:val="39"/>
    <w:rsid w:val="001F4BAD"/>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lNumbersList">
    <w:name w:val="AllNumbersList"/>
    <w:basedOn w:val="Normal"/>
    <w:link w:val="AllNumbersListChar"/>
    <w:rsid w:val="001F4BAD"/>
    <w:pPr>
      <w:numPr>
        <w:numId w:val="2"/>
      </w:numPr>
      <w:tabs>
        <w:tab w:val="left" w:pos="720"/>
      </w:tabs>
      <w:spacing w:before="120" w:after="120" w:line="240" w:lineRule="auto"/>
      <w:contextualSpacing/>
    </w:pPr>
    <w:rPr>
      <w:rFonts w:ascii="Gill Sans" w:eastAsia="Times New Roman" w:hAnsi="Gill Sans" w:cs="Arial"/>
      <w:sz w:val="24"/>
      <w:szCs w:val="24"/>
      <w:lang w:val="en-CA"/>
    </w:rPr>
  </w:style>
  <w:style w:type="character" w:customStyle="1" w:styleId="AllNumbersListChar">
    <w:name w:val="AllNumbersList Char"/>
    <w:link w:val="AllNumbersList"/>
    <w:rsid w:val="001F4BAD"/>
    <w:rPr>
      <w:rFonts w:ascii="Gill Sans" w:eastAsia="Times New Roman" w:hAnsi="Gill Sans" w:cs="Arial"/>
      <w:sz w:val="24"/>
      <w:szCs w:val="24"/>
      <w:lang w:val="en-CA"/>
    </w:rPr>
  </w:style>
  <w:style w:type="paragraph" w:styleId="FootnoteText">
    <w:name w:val="footnote text"/>
    <w:basedOn w:val="Normal"/>
    <w:link w:val="FootnoteTextChar"/>
    <w:rsid w:val="001F4BAD"/>
    <w:pPr>
      <w:widowControl w:val="0"/>
      <w:tabs>
        <w:tab w:val="left" w:pos="720"/>
      </w:tabs>
      <w:spacing w:after="0" w:line="240" w:lineRule="auto"/>
      <w:ind w:left="720"/>
    </w:pPr>
    <w:rPr>
      <w:rFonts w:ascii="Calibri" w:eastAsia="Times New Roman" w:hAnsi="Calibri" w:cs="Arial"/>
      <w:sz w:val="20"/>
      <w:szCs w:val="20"/>
      <w:lang w:val="en-CA"/>
    </w:rPr>
  </w:style>
  <w:style w:type="character" w:customStyle="1" w:styleId="FootnoteTextChar">
    <w:name w:val="Footnote Text Char"/>
    <w:basedOn w:val="DefaultParagraphFont"/>
    <w:link w:val="FootnoteText"/>
    <w:rsid w:val="001F4BAD"/>
    <w:rPr>
      <w:rFonts w:ascii="Calibri" w:eastAsia="Times New Roman" w:hAnsi="Calibri" w:cs="Arial"/>
      <w:sz w:val="20"/>
      <w:szCs w:val="20"/>
      <w:lang w:val="en-CA"/>
    </w:rPr>
  </w:style>
  <w:style w:type="character" w:styleId="FootnoteReference">
    <w:name w:val="footnote reference"/>
    <w:rsid w:val="001F4BAD"/>
    <w:rPr>
      <w:vertAlign w:val="superscript"/>
    </w:rPr>
  </w:style>
  <w:style w:type="paragraph" w:customStyle="1" w:styleId="TableText">
    <w:name w:val="Table Text"/>
    <w:basedOn w:val="Normal"/>
    <w:link w:val="TableTextChar"/>
    <w:rsid w:val="001F4BAD"/>
    <w:pPr>
      <w:widowControl w:val="0"/>
      <w:tabs>
        <w:tab w:val="left" w:pos="432"/>
      </w:tabs>
      <w:spacing w:before="60" w:after="60" w:line="240" w:lineRule="auto"/>
      <w:ind w:left="144"/>
    </w:pPr>
    <w:rPr>
      <w:rFonts w:ascii="Calibri" w:eastAsia="Times New Roman" w:hAnsi="Calibri" w:cs="Calibri"/>
      <w:sz w:val="24"/>
      <w:szCs w:val="24"/>
      <w:lang w:val="en-CA"/>
    </w:rPr>
  </w:style>
  <w:style w:type="character" w:customStyle="1" w:styleId="TableTextChar">
    <w:name w:val="Table Text Char"/>
    <w:link w:val="TableText"/>
    <w:rsid w:val="001F4BAD"/>
    <w:rPr>
      <w:rFonts w:ascii="Calibri" w:eastAsia="Times New Roman" w:hAnsi="Calibri" w:cs="Calibri"/>
      <w:sz w:val="24"/>
      <w:szCs w:val="24"/>
      <w:lang w:val="en-CA"/>
    </w:rPr>
  </w:style>
  <w:style w:type="paragraph" w:styleId="CommentSubject">
    <w:name w:val="annotation subject"/>
    <w:basedOn w:val="CommentText"/>
    <w:next w:val="CommentText"/>
    <w:link w:val="CommentSubjectChar"/>
    <w:uiPriority w:val="99"/>
    <w:semiHidden/>
    <w:unhideWhenUsed/>
    <w:rsid w:val="00862A5D"/>
    <w:pPr>
      <w:widowControl/>
      <w:tabs>
        <w:tab w:val="clear" w:pos="720"/>
      </w:tabs>
      <w:spacing w:before="0" w:after="200"/>
      <w:ind w:left="0"/>
    </w:pPr>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862A5D"/>
    <w:rPr>
      <w:rFonts w:ascii="Calibri" w:eastAsia="Times New Roman" w:hAnsi="Calibri" w:cs="Calibri"/>
      <w:b/>
      <w:bCs/>
      <w:sz w:val="20"/>
      <w:szCs w:val="20"/>
      <w:lang w:val="en-CA"/>
    </w:rPr>
  </w:style>
  <w:style w:type="paragraph" w:customStyle="1" w:styleId="gmail-msolistparagraph">
    <w:name w:val="gmail-msolistparagraph"/>
    <w:basedOn w:val="Normal"/>
    <w:rsid w:val="00A541F9"/>
    <w:pPr>
      <w:spacing w:before="100" w:beforeAutospacing="1" w:after="100" w:afterAutospacing="1" w:line="240" w:lineRule="auto"/>
    </w:pPr>
    <w:rPr>
      <w:rFonts w:ascii="Times New Roman" w:eastAsiaTheme="minorHAnsi" w:hAnsi="Times New Roman" w:cs="Times New Roman"/>
      <w:sz w:val="24"/>
      <w:szCs w:val="24"/>
      <w:lang w:val="en-CA" w:eastAsia="en-CA"/>
    </w:rPr>
  </w:style>
  <w:style w:type="paragraph" w:styleId="Revision">
    <w:name w:val="Revision"/>
    <w:hidden/>
    <w:uiPriority w:val="99"/>
    <w:semiHidden/>
    <w:rsid w:val="0013307F"/>
    <w:pPr>
      <w:spacing w:after="0" w:line="240" w:lineRule="auto"/>
    </w:pPr>
  </w:style>
  <w:style w:type="paragraph" w:styleId="EndnoteText">
    <w:name w:val="endnote text"/>
    <w:basedOn w:val="Normal"/>
    <w:link w:val="EndnoteTextChar"/>
    <w:uiPriority w:val="99"/>
    <w:semiHidden/>
    <w:unhideWhenUsed/>
    <w:rsid w:val="002E23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233E"/>
    <w:rPr>
      <w:sz w:val="20"/>
      <w:szCs w:val="20"/>
    </w:rPr>
  </w:style>
  <w:style w:type="character" w:styleId="EndnoteReference">
    <w:name w:val="endnote reference"/>
    <w:basedOn w:val="DefaultParagraphFont"/>
    <w:uiPriority w:val="99"/>
    <w:semiHidden/>
    <w:unhideWhenUsed/>
    <w:rsid w:val="002E233E"/>
    <w:rPr>
      <w:vertAlign w:val="superscript"/>
    </w:rPr>
  </w:style>
  <w:style w:type="table" w:customStyle="1" w:styleId="TableGrid1">
    <w:name w:val="Table Grid1"/>
    <w:basedOn w:val="TableNormal"/>
    <w:next w:val="TableGrid"/>
    <w:rsid w:val="00886575"/>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1790"/>
    <w:rPr>
      <w:rFonts w:ascii="Times New Roman" w:hAnsi="Times New Roman" w:cs="Times New Roman"/>
      <w:sz w:val="24"/>
      <w:szCs w:val="24"/>
    </w:rPr>
  </w:style>
  <w:style w:type="character" w:styleId="Hyperlink">
    <w:name w:val="Hyperlink"/>
    <w:basedOn w:val="DefaultParagraphFont"/>
    <w:uiPriority w:val="99"/>
    <w:unhideWhenUsed/>
    <w:rsid w:val="00926116"/>
    <w:rPr>
      <w:color w:val="0000FF" w:themeColor="hyperlink"/>
      <w:u w:val="single"/>
    </w:rPr>
  </w:style>
  <w:style w:type="paragraph" w:styleId="DocumentMap">
    <w:name w:val="Document Map"/>
    <w:basedOn w:val="Normal"/>
    <w:link w:val="DocumentMapChar"/>
    <w:uiPriority w:val="99"/>
    <w:semiHidden/>
    <w:unhideWhenUsed/>
    <w:rsid w:val="00AA1AD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A1ADB"/>
    <w:rPr>
      <w:rFonts w:ascii="Lucida Grande" w:hAnsi="Lucida Grande" w:cs="Lucida Grande"/>
      <w:sz w:val="24"/>
      <w:szCs w:val="24"/>
    </w:rPr>
  </w:style>
  <w:style w:type="table" w:styleId="LightList-Accent1">
    <w:name w:val="Light List Accent 1"/>
    <w:basedOn w:val="TableNormal"/>
    <w:uiPriority w:val="61"/>
    <w:rsid w:val="00C56F7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lainText">
    <w:name w:val="Plain Text"/>
    <w:basedOn w:val="Normal"/>
    <w:link w:val="PlainTextChar"/>
    <w:uiPriority w:val="99"/>
    <w:unhideWhenUsed/>
    <w:rsid w:val="005C63C0"/>
    <w:pPr>
      <w:spacing w:after="0" w:line="240" w:lineRule="auto"/>
    </w:pPr>
    <w:rPr>
      <w:rFonts w:ascii="Calibri" w:eastAsiaTheme="minorHAnsi" w:hAnsi="Calibri"/>
      <w:szCs w:val="21"/>
      <w:lang w:val="en-CA"/>
    </w:rPr>
  </w:style>
  <w:style w:type="character" w:customStyle="1" w:styleId="PlainTextChar">
    <w:name w:val="Plain Text Char"/>
    <w:basedOn w:val="DefaultParagraphFont"/>
    <w:link w:val="PlainText"/>
    <w:uiPriority w:val="99"/>
    <w:rsid w:val="005C63C0"/>
    <w:rPr>
      <w:rFonts w:ascii="Calibri" w:eastAsiaTheme="minorHAnsi" w:hAnsi="Calibri"/>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049">
      <w:bodyDiv w:val="1"/>
      <w:marLeft w:val="0"/>
      <w:marRight w:val="0"/>
      <w:marTop w:val="0"/>
      <w:marBottom w:val="0"/>
      <w:divBdr>
        <w:top w:val="none" w:sz="0" w:space="0" w:color="auto"/>
        <w:left w:val="none" w:sz="0" w:space="0" w:color="auto"/>
        <w:bottom w:val="none" w:sz="0" w:space="0" w:color="auto"/>
        <w:right w:val="none" w:sz="0" w:space="0" w:color="auto"/>
      </w:divBdr>
    </w:div>
    <w:div w:id="37442043">
      <w:bodyDiv w:val="1"/>
      <w:marLeft w:val="0"/>
      <w:marRight w:val="0"/>
      <w:marTop w:val="0"/>
      <w:marBottom w:val="0"/>
      <w:divBdr>
        <w:top w:val="none" w:sz="0" w:space="0" w:color="auto"/>
        <w:left w:val="none" w:sz="0" w:space="0" w:color="auto"/>
        <w:bottom w:val="none" w:sz="0" w:space="0" w:color="auto"/>
        <w:right w:val="none" w:sz="0" w:space="0" w:color="auto"/>
      </w:divBdr>
    </w:div>
    <w:div w:id="116219812">
      <w:bodyDiv w:val="1"/>
      <w:marLeft w:val="0"/>
      <w:marRight w:val="0"/>
      <w:marTop w:val="0"/>
      <w:marBottom w:val="0"/>
      <w:divBdr>
        <w:top w:val="none" w:sz="0" w:space="0" w:color="auto"/>
        <w:left w:val="none" w:sz="0" w:space="0" w:color="auto"/>
        <w:bottom w:val="none" w:sz="0" w:space="0" w:color="auto"/>
        <w:right w:val="none" w:sz="0" w:space="0" w:color="auto"/>
      </w:divBdr>
    </w:div>
    <w:div w:id="198982096">
      <w:bodyDiv w:val="1"/>
      <w:marLeft w:val="0"/>
      <w:marRight w:val="0"/>
      <w:marTop w:val="0"/>
      <w:marBottom w:val="0"/>
      <w:divBdr>
        <w:top w:val="none" w:sz="0" w:space="0" w:color="auto"/>
        <w:left w:val="none" w:sz="0" w:space="0" w:color="auto"/>
        <w:bottom w:val="none" w:sz="0" w:space="0" w:color="auto"/>
        <w:right w:val="none" w:sz="0" w:space="0" w:color="auto"/>
      </w:divBdr>
    </w:div>
    <w:div w:id="220167914">
      <w:bodyDiv w:val="1"/>
      <w:marLeft w:val="0"/>
      <w:marRight w:val="0"/>
      <w:marTop w:val="0"/>
      <w:marBottom w:val="0"/>
      <w:divBdr>
        <w:top w:val="none" w:sz="0" w:space="0" w:color="auto"/>
        <w:left w:val="none" w:sz="0" w:space="0" w:color="auto"/>
        <w:bottom w:val="none" w:sz="0" w:space="0" w:color="auto"/>
        <w:right w:val="none" w:sz="0" w:space="0" w:color="auto"/>
      </w:divBdr>
    </w:div>
    <w:div w:id="259799659">
      <w:bodyDiv w:val="1"/>
      <w:marLeft w:val="0"/>
      <w:marRight w:val="0"/>
      <w:marTop w:val="0"/>
      <w:marBottom w:val="0"/>
      <w:divBdr>
        <w:top w:val="none" w:sz="0" w:space="0" w:color="auto"/>
        <w:left w:val="none" w:sz="0" w:space="0" w:color="auto"/>
        <w:bottom w:val="none" w:sz="0" w:space="0" w:color="auto"/>
        <w:right w:val="none" w:sz="0" w:space="0" w:color="auto"/>
      </w:divBdr>
    </w:div>
    <w:div w:id="333187708">
      <w:bodyDiv w:val="1"/>
      <w:marLeft w:val="0"/>
      <w:marRight w:val="0"/>
      <w:marTop w:val="0"/>
      <w:marBottom w:val="0"/>
      <w:divBdr>
        <w:top w:val="none" w:sz="0" w:space="0" w:color="auto"/>
        <w:left w:val="none" w:sz="0" w:space="0" w:color="auto"/>
        <w:bottom w:val="none" w:sz="0" w:space="0" w:color="auto"/>
        <w:right w:val="none" w:sz="0" w:space="0" w:color="auto"/>
      </w:divBdr>
    </w:div>
    <w:div w:id="339621020">
      <w:bodyDiv w:val="1"/>
      <w:marLeft w:val="0"/>
      <w:marRight w:val="0"/>
      <w:marTop w:val="0"/>
      <w:marBottom w:val="0"/>
      <w:divBdr>
        <w:top w:val="none" w:sz="0" w:space="0" w:color="auto"/>
        <w:left w:val="none" w:sz="0" w:space="0" w:color="auto"/>
        <w:bottom w:val="none" w:sz="0" w:space="0" w:color="auto"/>
        <w:right w:val="none" w:sz="0" w:space="0" w:color="auto"/>
      </w:divBdr>
    </w:div>
    <w:div w:id="392893835">
      <w:bodyDiv w:val="1"/>
      <w:marLeft w:val="0"/>
      <w:marRight w:val="0"/>
      <w:marTop w:val="0"/>
      <w:marBottom w:val="0"/>
      <w:divBdr>
        <w:top w:val="none" w:sz="0" w:space="0" w:color="auto"/>
        <w:left w:val="none" w:sz="0" w:space="0" w:color="auto"/>
        <w:bottom w:val="none" w:sz="0" w:space="0" w:color="auto"/>
        <w:right w:val="none" w:sz="0" w:space="0" w:color="auto"/>
      </w:divBdr>
    </w:div>
    <w:div w:id="410126505">
      <w:bodyDiv w:val="1"/>
      <w:marLeft w:val="0"/>
      <w:marRight w:val="0"/>
      <w:marTop w:val="0"/>
      <w:marBottom w:val="0"/>
      <w:divBdr>
        <w:top w:val="none" w:sz="0" w:space="0" w:color="auto"/>
        <w:left w:val="none" w:sz="0" w:space="0" w:color="auto"/>
        <w:bottom w:val="none" w:sz="0" w:space="0" w:color="auto"/>
        <w:right w:val="none" w:sz="0" w:space="0" w:color="auto"/>
      </w:divBdr>
    </w:div>
    <w:div w:id="536820958">
      <w:bodyDiv w:val="1"/>
      <w:marLeft w:val="0"/>
      <w:marRight w:val="0"/>
      <w:marTop w:val="0"/>
      <w:marBottom w:val="0"/>
      <w:divBdr>
        <w:top w:val="none" w:sz="0" w:space="0" w:color="auto"/>
        <w:left w:val="none" w:sz="0" w:space="0" w:color="auto"/>
        <w:bottom w:val="none" w:sz="0" w:space="0" w:color="auto"/>
        <w:right w:val="none" w:sz="0" w:space="0" w:color="auto"/>
      </w:divBdr>
    </w:div>
    <w:div w:id="589892937">
      <w:bodyDiv w:val="1"/>
      <w:marLeft w:val="0"/>
      <w:marRight w:val="0"/>
      <w:marTop w:val="0"/>
      <w:marBottom w:val="0"/>
      <w:divBdr>
        <w:top w:val="none" w:sz="0" w:space="0" w:color="auto"/>
        <w:left w:val="none" w:sz="0" w:space="0" w:color="auto"/>
        <w:bottom w:val="none" w:sz="0" w:space="0" w:color="auto"/>
        <w:right w:val="none" w:sz="0" w:space="0" w:color="auto"/>
      </w:divBdr>
    </w:div>
    <w:div w:id="597837802">
      <w:bodyDiv w:val="1"/>
      <w:marLeft w:val="0"/>
      <w:marRight w:val="0"/>
      <w:marTop w:val="0"/>
      <w:marBottom w:val="0"/>
      <w:divBdr>
        <w:top w:val="none" w:sz="0" w:space="0" w:color="auto"/>
        <w:left w:val="none" w:sz="0" w:space="0" w:color="auto"/>
        <w:bottom w:val="none" w:sz="0" w:space="0" w:color="auto"/>
        <w:right w:val="none" w:sz="0" w:space="0" w:color="auto"/>
      </w:divBdr>
    </w:div>
    <w:div w:id="691229457">
      <w:bodyDiv w:val="1"/>
      <w:marLeft w:val="0"/>
      <w:marRight w:val="0"/>
      <w:marTop w:val="0"/>
      <w:marBottom w:val="0"/>
      <w:divBdr>
        <w:top w:val="none" w:sz="0" w:space="0" w:color="auto"/>
        <w:left w:val="none" w:sz="0" w:space="0" w:color="auto"/>
        <w:bottom w:val="none" w:sz="0" w:space="0" w:color="auto"/>
        <w:right w:val="none" w:sz="0" w:space="0" w:color="auto"/>
      </w:divBdr>
    </w:div>
    <w:div w:id="744911890">
      <w:bodyDiv w:val="1"/>
      <w:marLeft w:val="0"/>
      <w:marRight w:val="0"/>
      <w:marTop w:val="0"/>
      <w:marBottom w:val="0"/>
      <w:divBdr>
        <w:top w:val="none" w:sz="0" w:space="0" w:color="auto"/>
        <w:left w:val="none" w:sz="0" w:space="0" w:color="auto"/>
        <w:bottom w:val="none" w:sz="0" w:space="0" w:color="auto"/>
        <w:right w:val="none" w:sz="0" w:space="0" w:color="auto"/>
      </w:divBdr>
    </w:div>
    <w:div w:id="852189149">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65484885">
      <w:bodyDiv w:val="1"/>
      <w:marLeft w:val="0"/>
      <w:marRight w:val="0"/>
      <w:marTop w:val="0"/>
      <w:marBottom w:val="0"/>
      <w:divBdr>
        <w:top w:val="none" w:sz="0" w:space="0" w:color="auto"/>
        <w:left w:val="none" w:sz="0" w:space="0" w:color="auto"/>
        <w:bottom w:val="none" w:sz="0" w:space="0" w:color="auto"/>
        <w:right w:val="none" w:sz="0" w:space="0" w:color="auto"/>
      </w:divBdr>
    </w:div>
    <w:div w:id="916356388">
      <w:bodyDiv w:val="1"/>
      <w:marLeft w:val="0"/>
      <w:marRight w:val="0"/>
      <w:marTop w:val="0"/>
      <w:marBottom w:val="0"/>
      <w:divBdr>
        <w:top w:val="none" w:sz="0" w:space="0" w:color="auto"/>
        <w:left w:val="none" w:sz="0" w:space="0" w:color="auto"/>
        <w:bottom w:val="none" w:sz="0" w:space="0" w:color="auto"/>
        <w:right w:val="none" w:sz="0" w:space="0" w:color="auto"/>
      </w:divBdr>
    </w:div>
    <w:div w:id="935989326">
      <w:bodyDiv w:val="1"/>
      <w:marLeft w:val="0"/>
      <w:marRight w:val="0"/>
      <w:marTop w:val="0"/>
      <w:marBottom w:val="0"/>
      <w:divBdr>
        <w:top w:val="none" w:sz="0" w:space="0" w:color="auto"/>
        <w:left w:val="none" w:sz="0" w:space="0" w:color="auto"/>
        <w:bottom w:val="none" w:sz="0" w:space="0" w:color="auto"/>
        <w:right w:val="none" w:sz="0" w:space="0" w:color="auto"/>
      </w:divBdr>
    </w:div>
    <w:div w:id="1157499214">
      <w:bodyDiv w:val="1"/>
      <w:marLeft w:val="0"/>
      <w:marRight w:val="0"/>
      <w:marTop w:val="0"/>
      <w:marBottom w:val="0"/>
      <w:divBdr>
        <w:top w:val="none" w:sz="0" w:space="0" w:color="auto"/>
        <w:left w:val="none" w:sz="0" w:space="0" w:color="auto"/>
        <w:bottom w:val="none" w:sz="0" w:space="0" w:color="auto"/>
        <w:right w:val="none" w:sz="0" w:space="0" w:color="auto"/>
      </w:divBdr>
    </w:div>
    <w:div w:id="1233127830">
      <w:bodyDiv w:val="1"/>
      <w:marLeft w:val="0"/>
      <w:marRight w:val="0"/>
      <w:marTop w:val="0"/>
      <w:marBottom w:val="0"/>
      <w:divBdr>
        <w:top w:val="none" w:sz="0" w:space="0" w:color="auto"/>
        <w:left w:val="none" w:sz="0" w:space="0" w:color="auto"/>
        <w:bottom w:val="none" w:sz="0" w:space="0" w:color="auto"/>
        <w:right w:val="none" w:sz="0" w:space="0" w:color="auto"/>
      </w:divBdr>
    </w:div>
    <w:div w:id="1238904380">
      <w:bodyDiv w:val="1"/>
      <w:marLeft w:val="0"/>
      <w:marRight w:val="0"/>
      <w:marTop w:val="0"/>
      <w:marBottom w:val="0"/>
      <w:divBdr>
        <w:top w:val="none" w:sz="0" w:space="0" w:color="auto"/>
        <w:left w:val="none" w:sz="0" w:space="0" w:color="auto"/>
        <w:bottom w:val="none" w:sz="0" w:space="0" w:color="auto"/>
        <w:right w:val="none" w:sz="0" w:space="0" w:color="auto"/>
      </w:divBdr>
    </w:div>
    <w:div w:id="1272083224">
      <w:bodyDiv w:val="1"/>
      <w:marLeft w:val="0"/>
      <w:marRight w:val="0"/>
      <w:marTop w:val="0"/>
      <w:marBottom w:val="0"/>
      <w:divBdr>
        <w:top w:val="none" w:sz="0" w:space="0" w:color="auto"/>
        <w:left w:val="none" w:sz="0" w:space="0" w:color="auto"/>
        <w:bottom w:val="none" w:sz="0" w:space="0" w:color="auto"/>
        <w:right w:val="none" w:sz="0" w:space="0" w:color="auto"/>
      </w:divBdr>
    </w:div>
    <w:div w:id="1302543266">
      <w:bodyDiv w:val="1"/>
      <w:marLeft w:val="0"/>
      <w:marRight w:val="0"/>
      <w:marTop w:val="0"/>
      <w:marBottom w:val="0"/>
      <w:divBdr>
        <w:top w:val="none" w:sz="0" w:space="0" w:color="auto"/>
        <w:left w:val="none" w:sz="0" w:space="0" w:color="auto"/>
        <w:bottom w:val="none" w:sz="0" w:space="0" w:color="auto"/>
        <w:right w:val="none" w:sz="0" w:space="0" w:color="auto"/>
      </w:divBdr>
    </w:div>
    <w:div w:id="1371033599">
      <w:bodyDiv w:val="1"/>
      <w:marLeft w:val="0"/>
      <w:marRight w:val="0"/>
      <w:marTop w:val="0"/>
      <w:marBottom w:val="0"/>
      <w:divBdr>
        <w:top w:val="none" w:sz="0" w:space="0" w:color="auto"/>
        <w:left w:val="none" w:sz="0" w:space="0" w:color="auto"/>
        <w:bottom w:val="none" w:sz="0" w:space="0" w:color="auto"/>
        <w:right w:val="none" w:sz="0" w:space="0" w:color="auto"/>
      </w:divBdr>
    </w:div>
    <w:div w:id="1419599582">
      <w:bodyDiv w:val="1"/>
      <w:marLeft w:val="0"/>
      <w:marRight w:val="0"/>
      <w:marTop w:val="0"/>
      <w:marBottom w:val="0"/>
      <w:divBdr>
        <w:top w:val="none" w:sz="0" w:space="0" w:color="auto"/>
        <w:left w:val="none" w:sz="0" w:space="0" w:color="auto"/>
        <w:bottom w:val="none" w:sz="0" w:space="0" w:color="auto"/>
        <w:right w:val="none" w:sz="0" w:space="0" w:color="auto"/>
      </w:divBdr>
    </w:div>
    <w:div w:id="1441340140">
      <w:bodyDiv w:val="1"/>
      <w:marLeft w:val="0"/>
      <w:marRight w:val="0"/>
      <w:marTop w:val="0"/>
      <w:marBottom w:val="0"/>
      <w:divBdr>
        <w:top w:val="none" w:sz="0" w:space="0" w:color="auto"/>
        <w:left w:val="none" w:sz="0" w:space="0" w:color="auto"/>
        <w:bottom w:val="none" w:sz="0" w:space="0" w:color="auto"/>
        <w:right w:val="none" w:sz="0" w:space="0" w:color="auto"/>
      </w:divBdr>
    </w:div>
    <w:div w:id="1442917177">
      <w:bodyDiv w:val="1"/>
      <w:marLeft w:val="0"/>
      <w:marRight w:val="0"/>
      <w:marTop w:val="0"/>
      <w:marBottom w:val="0"/>
      <w:divBdr>
        <w:top w:val="none" w:sz="0" w:space="0" w:color="auto"/>
        <w:left w:val="none" w:sz="0" w:space="0" w:color="auto"/>
        <w:bottom w:val="none" w:sz="0" w:space="0" w:color="auto"/>
        <w:right w:val="none" w:sz="0" w:space="0" w:color="auto"/>
      </w:divBdr>
    </w:div>
    <w:div w:id="1456799978">
      <w:bodyDiv w:val="1"/>
      <w:marLeft w:val="0"/>
      <w:marRight w:val="0"/>
      <w:marTop w:val="0"/>
      <w:marBottom w:val="0"/>
      <w:divBdr>
        <w:top w:val="none" w:sz="0" w:space="0" w:color="auto"/>
        <w:left w:val="none" w:sz="0" w:space="0" w:color="auto"/>
        <w:bottom w:val="none" w:sz="0" w:space="0" w:color="auto"/>
        <w:right w:val="none" w:sz="0" w:space="0" w:color="auto"/>
      </w:divBdr>
    </w:div>
    <w:div w:id="1457094608">
      <w:bodyDiv w:val="1"/>
      <w:marLeft w:val="0"/>
      <w:marRight w:val="0"/>
      <w:marTop w:val="0"/>
      <w:marBottom w:val="0"/>
      <w:divBdr>
        <w:top w:val="none" w:sz="0" w:space="0" w:color="auto"/>
        <w:left w:val="none" w:sz="0" w:space="0" w:color="auto"/>
        <w:bottom w:val="none" w:sz="0" w:space="0" w:color="auto"/>
        <w:right w:val="none" w:sz="0" w:space="0" w:color="auto"/>
      </w:divBdr>
    </w:div>
    <w:div w:id="1662543024">
      <w:bodyDiv w:val="1"/>
      <w:marLeft w:val="0"/>
      <w:marRight w:val="0"/>
      <w:marTop w:val="0"/>
      <w:marBottom w:val="0"/>
      <w:divBdr>
        <w:top w:val="none" w:sz="0" w:space="0" w:color="auto"/>
        <w:left w:val="none" w:sz="0" w:space="0" w:color="auto"/>
        <w:bottom w:val="none" w:sz="0" w:space="0" w:color="auto"/>
        <w:right w:val="none" w:sz="0" w:space="0" w:color="auto"/>
      </w:divBdr>
    </w:div>
    <w:div w:id="1712072787">
      <w:bodyDiv w:val="1"/>
      <w:marLeft w:val="0"/>
      <w:marRight w:val="0"/>
      <w:marTop w:val="0"/>
      <w:marBottom w:val="0"/>
      <w:divBdr>
        <w:top w:val="none" w:sz="0" w:space="0" w:color="auto"/>
        <w:left w:val="none" w:sz="0" w:space="0" w:color="auto"/>
        <w:bottom w:val="none" w:sz="0" w:space="0" w:color="auto"/>
        <w:right w:val="none" w:sz="0" w:space="0" w:color="auto"/>
      </w:divBdr>
      <w:divsChild>
        <w:div w:id="667828047">
          <w:marLeft w:val="0"/>
          <w:marRight w:val="0"/>
          <w:marTop w:val="0"/>
          <w:marBottom w:val="0"/>
          <w:divBdr>
            <w:top w:val="none" w:sz="0" w:space="0" w:color="auto"/>
            <w:left w:val="none" w:sz="0" w:space="0" w:color="auto"/>
            <w:bottom w:val="none" w:sz="0" w:space="0" w:color="auto"/>
            <w:right w:val="none" w:sz="0" w:space="0" w:color="auto"/>
          </w:divBdr>
          <w:divsChild>
            <w:div w:id="757143084">
              <w:marLeft w:val="0"/>
              <w:marRight w:val="0"/>
              <w:marTop w:val="0"/>
              <w:marBottom w:val="0"/>
              <w:divBdr>
                <w:top w:val="none" w:sz="0" w:space="0" w:color="auto"/>
                <w:left w:val="none" w:sz="0" w:space="0" w:color="auto"/>
                <w:bottom w:val="none" w:sz="0" w:space="0" w:color="auto"/>
                <w:right w:val="none" w:sz="0" w:space="0" w:color="auto"/>
              </w:divBdr>
              <w:divsChild>
                <w:div w:id="1779524086">
                  <w:marLeft w:val="0"/>
                  <w:marRight w:val="0"/>
                  <w:marTop w:val="0"/>
                  <w:marBottom w:val="0"/>
                  <w:divBdr>
                    <w:top w:val="none" w:sz="0" w:space="0" w:color="auto"/>
                    <w:left w:val="none" w:sz="0" w:space="0" w:color="auto"/>
                    <w:bottom w:val="none" w:sz="0" w:space="0" w:color="auto"/>
                    <w:right w:val="none" w:sz="0" w:space="0" w:color="auto"/>
                  </w:divBdr>
                  <w:divsChild>
                    <w:div w:id="1168717333">
                      <w:marLeft w:val="0"/>
                      <w:marRight w:val="0"/>
                      <w:marTop w:val="0"/>
                      <w:marBottom w:val="0"/>
                      <w:divBdr>
                        <w:top w:val="none" w:sz="0" w:space="0" w:color="auto"/>
                        <w:left w:val="none" w:sz="0" w:space="0" w:color="auto"/>
                        <w:bottom w:val="none" w:sz="0" w:space="0" w:color="auto"/>
                        <w:right w:val="none" w:sz="0" w:space="0" w:color="auto"/>
                      </w:divBdr>
                      <w:divsChild>
                        <w:div w:id="12803924">
                          <w:marLeft w:val="0"/>
                          <w:marRight w:val="0"/>
                          <w:marTop w:val="0"/>
                          <w:marBottom w:val="0"/>
                          <w:divBdr>
                            <w:top w:val="none" w:sz="0" w:space="0" w:color="auto"/>
                            <w:left w:val="none" w:sz="0" w:space="0" w:color="auto"/>
                            <w:bottom w:val="none" w:sz="0" w:space="0" w:color="auto"/>
                            <w:right w:val="none" w:sz="0" w:space="0" w:color="auto"/>
                          </w:divBdr>
                          <w:divsChild>
                            <w:div w:id="629014695">
                              <w:marLeft w:val="0"/>
                              <w:marRight w:val="0"/>
                              <w:marTop w:val="0"/>
                              <w:marBottom w:val="0"/>
                              <w:divBdr>
                                <w:top w:val="none" w:sz="0" w:space="0" w:color="auto"/>
                                <w:left w:val="none" w:sz="0" w:space="0" w:color="auto"/>
                                <w:bottom w:val="none" w:sz="0" w:space="0" w:color="auto"/>
                                <w:right w:val="none" w:sz="0" w:space="0" w:color="auto"/>
                              </w:divBdr>
                              <w:divsChild>
                                <w:div w:id="2607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9920">
      <w:bodyDiv w:val="1"/>
      <w:marLeft w:val="0"/>
      <w:marRight w:val="0"/>
      <w:marTop w:val="0"/>
      <w:marBottom w:val="0"/>
      <w:divBdr>
        <w:top w:val="none" w:sz="0" w:space="0" w:color="auto"/>
        <w:left w:val="none" w:sz="0" w:space="0" w:color="auto"/>
        <w:bottom w:val="none" w:sz="0" w:space="0" w:color="auto"/>
        <w:right w:val="none" w:sz="0" w:space="0" w:color="auto"/>
      </w:divBdr>
    </w:div>
    <w:div w:id="1800683506">
      <w:bodyDiv w:val="1"/>
      <w:marLeft w:val="0"/>
      <w:marRight w:val="0"/>
      <w:marTop w:val="0"/>
      <w:marBottom w:val="0"/>
      <w:divBdr>
        <w:top w:val="none" w:sz="0" w:space="0" w:color="auto"/>
        <w:left w:val="none" w:sz="0" w:space="0" w:color="auto"/>
        <w:bottom w:val="none" w:sz="0" w:space="0" w:color="auto"/>
        <w:right w:val="none" w:sz="0" w:space="0" w:color="auto"/>
      </w:divBdr>
    </w:div>
    <w:div w:id="1817068942">
      <w:bodyDiv w:val="1"/>
      <w:marLeft w:val="0"/>
      <w:marRight w:val="0"/>
      <w:marTop w:val="0"/>
      <w:marBottom w:val="0"/>
      <w:divBdr>
        <w:top w:val="none" w:sz="0" w:space="0" w:color="auto"/>
        <w:left w:val="none" w:sz="0" w:space="0" w:color="auto"/>
        <w:bottom w:val="none" w:sz="0" w:space="0" w:color="auto"/>
        <w:right w:val="none" w:sz="0" w:space="0" w:color="auto"/>
      </w:divBdr>
    </w:div>
    <w:div w:id="1974750700">
      <w:bodyDiv w:val="1"/>
      <w:marLeft w:val="0"/>
      <w:marRight w:val="0"/>
      <w:marTop w:val="0"/>
      <w:marBottom w:val="0"/>
      <w:divBdr>
        <w:top w:val="none" w:sz="0" w:space="0" w:color="auto"/>
        <w:left w:val="none" w:sz="0" w:space="0" w:color="auto"/>
        <w:bottom w:val="none" w:sz="0" w:space="0" w:color="auto"/>
        <w:right w:val="none" w:sz="0" w:space="0" w:color="auto"/>
      </w:divBdr>
    </w:div>
    <w:div w:id="2023967291">
      <w:bodyDiv w:val="1"/>
      <w:marLeft w:val="0"/>
      <w:marRight w:val="0"/>
      <w:marTop w:val="0"/>
      <w:marBottom w:val="0"/>
      <w:divBdr>
        <w:top w:val="none" w:sz="0" w:space="0" w:color="auto"/>
        <w:left w:val="none" w:sz="0" w:space="0" w:color="auto"/>
        <w:bottom w:val="none" w:sz="0" w:space="0" w:color="auto"/>
        <w:right w:val="none" w:sz="0" w:space="0" w:color="auto"/>
      </w:divBdr>
    </w:div>
    <w:div w:id="207303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dgsoEm\AppData\Roaming\Microsoft\Templates\Executive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Draft Submission Template between the                                                                                            Ministry of Advanced Education and Skills Development and ‘X University’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83CA12-5842-482C-AF8F-1352C3F1AC3D}">
  <ds:schemaRefs>
    <ds:schemaRef ds:uri="http://schemas.microsoft.com/sharepoint/v3/contenttype/forms"/>
  </ds:schemaRefs>
</ds:datastoreItem>
</file>

<file path=customXml/itemProps3.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4.xml><?xml version="1.0" encoding="utf-8"?>
<ds:datastoreItem xmlns:ds="http://schemas.openxmlformats.org/officeDocument/2006/customXml" ds:itemID="{9783314D-EF2F-455D-A7E0-E83A5C0F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ExecutiveReport</Template>
  <TotalTime>0</TotalTime>
  <Pages>32</Pages>
  <Words>10447</Words>
  <Characters>59549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Strategic Mandate Agreement</vt:lpstr>
    </vt:vector>
  </TitlesOfParts>
  <Company>MGS</Company>
  <LinksUpToDate>false</LinksUpToDate>
  <CharactersWithSpaces>69857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Mandate Agreement</dc:title>
  <dc:subject>‘X’ University                                                                     2017-20</dc:subject>
  <dc:creator>Hodgson, Emily (TCU)</dc:creator>
  <cp:lastModifiedBy>Brenda Blackburn</cp:lastModifiedBy>
  <cp:revision>2</cp:revision>
  <cp:lastPrinted>2017-08-24T20:50:00Z</cp:lastPrinted>
  <dcterms:created xsi:type="dcterms:W3CDTF">2018-01-09T20:49:00Z</dcterms:created>
  <dcterms:modified xsi:type="dcterms:W3CDTF">2018-01-09T20:49:00Z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TC017730589991</vt:lpwstr>
  </property>
</Properties>
</file>