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125BC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>
                <v:stroke joinstyle="miter"/>
                <w10:wrap anchorx="margin"/>
              </v:line>
            </w:pict>
          </mc:Fallback>
        </mc:AlternateContent>
      </w:r>
    </w:p>
    <w:p w14:paraId="77B7F6C9" w14:textId="46924938" w:rsidR="00AE314D" w:rsidRPr="00052B69" w:rsidRDefault="00A133B8" w:rsidP="1C712B26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1C712B26">
        <w:rPr>
          <w:rStyle w:val="Heading2Char"/>
          <w:b/>
          <w:color w:val="000000" w:themeColor="text1"/>
          <w:sz w:val="26"/>
          <w:szCs w:val="26"/>
        </w:rPr>
        <w:t>Job Title:</w:t>
      </w:r>
      <w:r w:rsidRPr="1C712B26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A01113" w:rsidRPr="1C712B26">
        <w:rPr>
          <w:rFonts w:cs="Arial"/>
          <w:color w:val="000000" w:themeColor="text1"/>
          <w:sz w:val="26"/>
          <w:szCs w:val="26"/>
        </w:rPr>
        <w:t xml:space="preserve">Assistant Director, </w:t>
      </w:r>
      <w:r w:rsidR="004A4053" w:rsidRPr="1C712B26">
        <w:rPr>
          <w:rFonts w:cs="Arial"/>
          <w:color w:val="000000" w:themeColor="text1"/>
          <w:sz w:val="26"/>
          <w:szCs w:val="26"/>
        </w:rPr>
        <w:t>Administration</w:t>
      </w:r>
    </w:p>
    <w:p w14:paraId="54B0CDFE" w14:textId="08CB0645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01113" w:rsidRPr="00A01113">
        <w:rPr>
          <w:rFonts w:cs="Arial"/>
          <w:bCs/>
          <w:color w:val="000000" w:themeColor="text1"/>
          <w:sz w:val="26"/>
          <w:szCs w:val="26"/>
        </w:rPr>
        <w:t>X</w:t>
      </w:r>
      <w:r w:rsidR="002C1F67">
        <w:rPr>
          <w:rFonts w:cs="Arial"/>
          <w:bCs/>
          <w:color w:val="000000" w:themeColor="text1"/>
          <w:sz w:val="26"/>
          <w:szCs w:val="26"/>
        </w:rPr>
        <w:t>-490</w:t>
      </w:r>
      <w:r w:rsidR="00A01113" w:rsidRPr="00A0111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C1F67">
        <w:rPr>
          <w:rFonts w:cs="Arial"/>
          <w:bCs/>
          <w:color w:val="000000" w:themeColor="text1"/>
          <w:sz w:val="26"/>
          <w:szCs w:val="26"/>
        </w:rPr>
        <w:t>2050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437015E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</w:t>
      </w:r>
      <w:r w:rsidR="00E250BA" w:rsidRPr="002C1F67">
        <w:rPr>
          <w:rStyle w:val="Heading2Char"/>
          <w:color w:val="000000" w:themeColor="text1"/>
          <w:sz w:val="26"/>
          <w:szCs w:val="26"/>
        </w:rPr>
        <w:t>T</w:t>
      </w:r>
      <w:r w:rsidR="004E43E6" w:rsidRPr="002C1F67">
        <w:rPr>
          <w:rStyle w:val="Heading2Char"/>
          <w:color w:val="000000" w:themeColor="text1"/>
          <w:sz w:val="26"/>
          <w:szCs w:val="26"/>
        </w:rPr>
        <w:t>-</w:t>
      </w:r>
      <w:r w:rsidR="00A01113" w:rsidRPr="002C1F67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D07A7FD" w:rsidR="00A133B8" w:rsidRPr="00052B69" w:rsidRDefault="00A133B8" w:rsidP="1C712B26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1C712B26">
        <w:rPr>
          <w:rStyle w:val="Heading2Char"/>
          <w:b/>
          <w:color w:val="000000" w:themeColor="text1"/>
          <w:sz w:val="26"/>
          <w:szCs w:val="26"/>
        </w:rPr>
        <w:t>Department:</w:t>
      </w:r>
      <w:r w:rsidRPr="1C712B26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>
        <w:tab/>
      </w:r>
      <w:r w:rsidR="00352124" w:rsidRPr="1C712B26">
        <w:rPr>
          <w:rFonts w:cs="Arial"/>
          <w:color w:val="000000" w:themeColor="text1"/>
          <w:sz w:val="26"/>
          <w:szCs w:val="26"/>
        </w:rPr>
        <w:t>Housing &amp; Conference Services</w:t>
      </w:r>
      <w:r>
        <w:tab/>
      </w:r>
      <w:r>
        <w:tab/>
      </w:r>
    </w:p>
    <w:p w14:paraId="65D10A2A" w14:textId="5DB5F3EF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  <w:szCs w:val="26"/>
        </w:rPr>
      </w:pPr>
      <w:r w:rsidRPr="1C712B26">
        <w:rPr>
          <w:rStyle w:val="Heading2Char"/>
          <w:b/>
          <w:color w:val="000000" w:themeColor="text1"/>
          <w:sz w:val="26"/>
          <w:szCs w:val="26"/>
        </w:rPr>
        <w:t>Supervisor Title:</w:t>
      </w:r>
      <w:r w:rsidR="005277D9" w:rsidRPr="1C712B26">
        <w:rPr>
          <w:rStyle w:val="Heading2Char"/>
          <w:color w:val="000000" w:themeColor="text1"/>
          <w:sz w:val="26"/>
          <w:szCs w:val="26"/>
        </w:rPr>
        <w:t xml:space="preserve"> </w:t>
      </w:r>
      <w:r>
        <w:tab/>
      </w:r>
      <w:r w:rsidR="00A01113" w:rsidRPr="1C712B26">
        <w:rPr>
          <w:rStyle w:val="Heading2Char"/>
          <w:color w:val="000000" w:themeColor="text1"/>
          <w:sz w:val="26"/>
          <w:szCs w:val="26"/>
        </w:rPr>
        <w:t xml:space="preserve">Director, </w:t>
      </w:r>
      <w:r w:rsidR="00F06101" w:rsidRPr="1C712B26">
        <w:rPr>
          <w:rStyle w:val="Heading2Char"/>
          <w:color w:val="000000" w:themeColor="text1"/>
          <w:sz w:val="26"/>
          <w:szCs w:val="26"/>
        </w:rPr>
        <w:t xml:space="preserve">Housing </w:t>
      </w:r>
      <w:r w:rsidR="00352124" w:rsidRPr="1C712B26">
        <w:rPr>
          <w:rStyle w:val="Heading2Char"/>
          <w:color w:val="000000" w:themeColor="text1"/>
          <w:sz w:val="26"/>
          <w:szCs w:val="26"/>
        </w:rPr>
        <w:t>&amp; Hospitality Services</w:t>
      </w:r>
    </w:p>
    <w:p w14:paraId="6321F5BD" w14:textId="4BA3D15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1C712B26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B8275C">
        <w:t>February 19,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6D6C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F088169" w14:textId="7F4BDF19" w:rsidR="001D4376" w:rsidRPr="001D4376" w:rsidRDefault="001D4376" w:rsidP="001D4376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D4376">
        <w:rPr>
          <w:rFonts w:ascii="Arial" w:hAnsi="Arial" w:cs="Arial"/>
          <w:color w:val="000000"/>
        </w:rPr>
        <w:t>Reporting to the Director, Housing &amp; Hospitality Services, the Assistant Director, Administration provides</w:t>
      </w:r>
      <w:r w:rsidRPr="001D4376">
        <w:rPr>
          <w:rStyle w:val="apple-converted-space"/>
          <w:rFonts w:ascii="Arial" w:hAnsi="Arial" w:cs="Arial"/>
          <w:color w:val="000000"/>
        </w:rPr>
        <w:t> 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t>unit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noBreakHyphen/>
        <w:t>level operational leadership and implementation design</w:t>
      </w:r>
      <w:r w:rsidRPr="001D4376">
        <w:rPr>
          <w:rStyle w:val="apple-converted-space"/>
          <w:rFonts w:ascii="Arial" w:hAnsi="Arial" w:cs="Arial"/>
          <w:color w:val="000000"/>
        </w:rPr>
        <w:t> </w:t>
      </w:r>
      <w:r w:rsidRPr="001D4376">
        <w:rPr>
          <w:rFonts w:ascii="Arial" w:hAnsi="Arial" w:cs="Arial"/>
          <w:color w:val="000000"/>
        </w:rPr>
        <w:t>for administrative, admissions and occupancy, business systems, and marketing and communications functions within Housing &amp; Conference Services.</w:t>
      </w:r>
    </w:p>
    <w:p w14:paraId="745957C8" w14:textId="672ECFED" w:rsidR="001D4376" w:rsidRPr="001D4376" w:rsidRDefault="001D4376" w:rsidP="001D4376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D4376">
        <w:rPr>
          <w:rFonts w:ascii="Arial" w:hAnsi="Arial" w:cs="Arial"/>
          <w:color w:val="000000"/>
        </w:rPr>
        <w:t>Operating within departmental strategy, institutional policies, and approved resource parameters, the role is responsible for</w:t>
      </w:r>
      <w:r w:rsidRPr="001D4376">
        <w:rPr>
          <w:rStyle w:val="apple-converted-space"/>
          <w:rFonts w:ascii="Arial" w:hAnsi="Arial" w:cs="Arial"/>
          <w:color w:val="000000"/>
        </w:rPr>
        <w:t> 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t>designing, implementing, and overseeing core administrative and systems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noBreakHyphen/>
        <w:t>enabled service models</w:t>
      </w:r>
      <w:r w:rsidRPr="001D4376">
        <w:rPr>
          <w:rStyle w:val="apple-converted-space"/>
          <w:rFonts w:ascii="Arial" w:hAnsi="Arial" w:cs="Arial"/>
          <w:color w:val="000000"/>
        </w:rPr>
        <w:t> </w:t>
      </w:r>
      <w:r w:rsidRPr="001D4376">
        <w:rPr>
          <w:rFonts w:ascii="Arial" w:hAnsi="Arial" w:cs="Arial"/>
          <w:color w:val="000000"/>
        </w:rPr>
        <w:t>that support student housing operations and conference and event services marketing and communications. The Assistant Director exercises</w:t>
      </w:r>
      <w:r w:rsidRPr="001D4376">
        <w:rPr>
          <w:rStyle w:val="apple-converted-space"/>
          <w:rFonts w:ascii="Arial" w:hAnsi="Arial" w:cs="Arial"/>
          <w:color w:val="000000"/>
        </w:rPr>
        <w:t> 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t>independent decision</w:t>
      </w:r>
      <w:r w:rsidRPr="001D4376">
        <w:rPr>
          <w:rStyle w:val="Strong"/>
          <w:rFonts w:ascii="Arial" w:hAnsi="Arial" w:cs="Arial"/>
          <w:b w:val="0"/>
          <w:bCs w:val="0"/>
          <w:color w:val="000000"/>
        </w:rPr>
        <w:noBreakHyphen/>
        <w:t>making authority</w:t>
      </w:r>
      <w:r w:rsidRPr="001D4376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1D4376">
        <w:rPr>
          <w:rFonts w:ascii="Arial" w:hAnsi="Arial" w:cs="Arial"/>
          <w:color w:val="000000"/>
        </w:rPr>
        <w:t>related to operational workflows, system governance, forecasting, service standards, risk mitigation, and staff leadership within their portfolio. Matters involving significant institutional risk, legal exposure, cross</w:t>
      </w:r>
      <w:r w:rsidRPr="001D4376">
        <w:rPr>
          <w:rFonts w:ascii="Arial" w:hAnsi="Arial" w:cs="Arial"/>
          <w:color w:val="000000"/>
        </w:rPr>
        <w:noBreakHyphen/>
        <w:t>departmental coordination, or shifts in strategic direction are escalated to the Director.</w:t>
      </w:r>
    </w:p>
    <w:p w14:paraId="22898E2B" w14:textId="77777777" w:rsidR="001D4376" w:rsidRPr="001D4376" w:rsidRDefault="001D4376" w:rsidP="001D4376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1D4376">
        <w:rPr>
          <w:rFonts w:ascii="Arial" w:hAnsi="Arial" w:cs="Arial"/>
          <w:color w:val="000000"/>
        </w:rPr>
        <w:t>The role emphasizes process optimization, technology enablement, financial awareness, and service excellence to support consistent, data</w:t>
      </w:r>
      <w:r w:rsidRPr="001D4376">
        <w:rPr>
          <w:rFonts w:ascii="Arial" w:hAnsi="Arial" w:cs="Arial"/>
          <w:color w:val="000000"/>
        </w:rPr>
        <w:noBreakHyphen/>
        <w:t>informed, and student</w:t>
      </w:r>
      <w:r w:rsidRPr="001D4376">
        <w:rPr>
          <w:rFonts w:ascii="Arial" w:hAnsi="Arial" w:cs="Arial"/>
          <w:color w:val="000000"/>
        </w:rPr>
        <w:noBreakHyphen/>
        <w:t>centred operations.</w:t>
      </w:r>
    </w:p>
    <w:p w14:paraId="5BF6865C" w14:textId="5F02A3D2" w:rsidR="00CC35DD" w:rsidRPr="005A4630" w:rsidRDefault="00A133B8" w:rsidP="005A4630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  <w:r w:rsidR="00CC35DD">
        <w:t xml:space="preserve"> </w:t>
      </w:r>
    </w:p>
    <w:p w14:paraId="67D03CC1" w14:textId="680109CE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Provide unit</w:t>
      </w:r>
      <w:r w:rsidRPr="001D4376">
        <w:rPr>
          <w:rFonts w:eastAsia="Times New Roman" w:cs="Arial"/>
          <w:color w:val="000000"/>
          <w:szCs w:val="24"/>
          <w:lang w:val="en-CA"/>
        </w:rPr>
        <w:noBreakHyphen/>
        <w:t>level operational leadership for administrative services, admissions and occupancy management, business systems, and marketing and communications.</w:t>
      </w:r>
    </w:p>
    <w:p w14:paraId="3AB7A0F0" w14:textId="340A5AF4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lastRenderedPageBreak/>
        <w:t>Design, implement, and oversee admissions, recruitment, and occupancy workflows to support service quality, equity, and operational efficiency.</w:t>
      </w:r>
    </w:p>
    <w:p w14:paraId="31A5F573" w14:textId="5C8EF39A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Exercise operational decision</w:t>
      </w:r>
      <w:r w:rsidRPr="001D4376">
        <w:rPr>
          <w:rFonts w:eastAsia="Times New Roman" w:cs="Arial"/>
          <w:color w:val="000000"/>
          <w:szCs w:val="24"/>
          <w:lang w:val="en-CA"/>
        </w:rPr>
        <w:noBreakHyphen/>
        <w:t>making authority related to workflow design, service standards, system configuration, and resource deployment within approved parameters.</w:t>
      </w:r>
    </w:p>
    <w:p w14:paraId="46C60396" w14:textId="35227F7D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Oversee department business systems governance, including data integrity, security, workflow design, reporting, and optimization (e.g., StarRez, service platforms, analytics tools).</w:t>
      </w:r>
    </w:p>
    <w:p w14:paraId="35845DEC" w14:textId="2A71C39E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Lead the development and use of occupancy forecasts, business reports, performance metrics, and operational insights to support planning and decision</w:t>
      </w:r>
      <w:r w:rsidRPr="001D4376">
        <w:rPr>
          <w:rFonts w:eastAsia="Times New Roman" w:cs="Arial"/>
          <w:color w:val="000000"/>
          <w:szCs w:val="24"/>
          <w:lang w:val="en-CA"/>
        </w:rPr>
        <w:noBreakHyphen/>
        <w:t>making.</w:t>
      </w:r>
    </w:p>
    <w:p w14:paraId="3213E4B4" w14:textId="06F2B5BC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Provide operational oversight of marketing and communications activities, ensuring alignment with departmental priorities, brand standards, and enrollment and revenue goals.</w:t>
      </w:r>
    </w:p>
    <w:p w14:paraId="4039892F" w14:textId="3B58D5BC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Design and oversee integrated marketing and communication approaches to support recruitment, occupancy optimization, and conference services visibility.</w:t>
      </w:r>
    </w:p>
    <w:p w14:paraId="7A50A7F6" w14:textId="3BD7D6D2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Oversee the development, review, and maintenance of residence agreements, service contracts, and administrative policies, working with legal counsel as required.</w:t>
      </w:r>
    </w:p>
    <w:p w14:paraId="03488B0C" w14:textId="32F0F53D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Manage vendor relationships, service agreements, memoranda of understanding, and compliance requirements to mitigate operational and reputational risk.</w:t>
      </w:r>
    </w:p>
    <w:p w14:paraId="110AF672" w14:textId="70D8FE28" w:rsid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Provide human resources leadership for OPSEU and exempt staff within the portfolio, including hiring, performance management, development, and application of collective agreement provisions.</w:t>
      </w:r>
    </w:p>
    <w:p w14:paraId="658E49AB" w14:textId="3597F7FE" w:rsidR="00194EFB" w:rsidRPr="00194EFB" w:rsidRDefault="00194EFB" w:rsidP="00194EFB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3B5D35">
        <w:rPr>
          <w:rFonts w:eastAsia="Times New Roman" w:cs="Arial"/>
          <w:color w:val="000000"/>
          <w:szCs w:val="24"/>
          <w:lang w:val="en-CA"/>
        </w:rPr>
        <w:t>Approve Coordinator human resources decisions related to student staff within delegated authority, including terminations, job changes, and pay structures.</w:t>
      </w:r>
    </w:p>
    <w:p w14:paraId="6C9D37E6" w14:textId="21CCB3E9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Collaborate with central units (e.g., Recruitment, Communications, IT, Student Accounts, HR, Equity &amp; Human Rights) to align systems, processes, and service delivery.</w:t>
      </w:r>
    </w:p>
    <w:p w14:paraId="66766425" w14:textId="758D3283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Partner with Student Accessibility Services and the Equity &amp; Human Rights Office to support processes related to accommodations and unique housing needs.</w:t>
      </w:r>
    </w:p>
    <w:p w14:paraId="66ECC75D" w14:textId="773EAF68" w:rsidR="001D4376" w:rsidRPr="001D4376" w:rsidRDefault="001D4376" w:rsidP="001D4376">
      <w:pPr>
        <w:pStyle w:val="ListParagraph"/>
        <w:numPr>
          <w:ilvl w:val="0"/>
          <w:numId w:val="35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Monitor operational, financial, legal, and service risks within the portfolio and escalate concerns with material impact to the Director.</w:t>
      </w:r>
    </w:p>
    <w:p w14:paraId="40CE1348" w14:textId="344D3DFC" w:rsidR="001D4376" w:rsidRPr="001D4376" w:rsidRDefault="001D4376" w:rsidP="001D4376">
      <w:pPr>
        <w:pStyle w:val="ListParagraph"/>
        <w:numPr>
          <w:ilvl w:val="0"/>
          <w:numId w:val="30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1D4376">
        <w:rPr>
          <w:rFonts w:eastAsia="Times New Roman" w:cs="Arial"/>
          <w:color w:val="000000"/>
          <w:szCs w:val="24"/>
          <w:lang w:val="en-CA"/>
        </w:rPr>
        <w:t>Advise the Director on emerging trends, system performance, operational pressures, and opportunities for service and business model improvement.</w:t>
      </w:r>
    </w:p>
    <w:p w14:paraId="534E3A1C" w14:textId="77777777" w:rsidR="001A6BCE" w:rsidRPr="001D4376" w:rsidRDefault="001A6BCE" w:rsidP="001D4376">
      <w:pPr>
        <w:pStyle w:val="ListParagraph"/>
        <w:numPr>
          <w:ilvl w:val="0"/>
          <w:numId w:val="30"/>
        </w:numPr>
        <w:ind w:left="426"/>
        <w:rPr>
          <w:rFonts w:cs="Arial"/>
          <w:szCs w:val="24"/>
        </w:rPr>
      </w:pPr>
      <w:r w:rsidRPr="001D4376">
        <w:rPr>
          <w:rFonts w:cs="Arial"/>
          <w:szCs w:val="24"/>
        </w:rP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E7305FC" w14:textId="7D413B5E" w:rsidR="00F06101" w:rsidRDefault="00F06101" w:rsidP="002C1F67">
      <w:pPr>
        <w:pStyle w:val="ListParagraph"/>
        <w:numPr>
          <w:ilvl w:val="0"/>
          <w:numId w:val="30"/>
        </w:numPr>
        <w:ind w:left="360"/>
      </w:pPr>
      <w:r>
        <w:t xml:space="preserve">A graduate degree in a related field is required. </w:t>
      </w:r>
    </w:p>
    <w:p w14:paraId="5E03EDC9" w14:textId="77777777" w:rsidR="00F8711C" w:rsidRPr="00394C68" w:rsidRDefault="00F8711C" w:rsidP="002C1F67">
      <w:pPr>
        <w:pStyle w:val="ListParagraph"/>
        <w:numPr>
          <w:ilvl w:val="0"/>
          <w:numId w:val="30"/>
        </w:numPr>
        <w:ind w:left="360"/>
      </w:pPr>
      <w:r w:rsidRPr="00394C68">
        <w:t xml:space="preserve">A specialized certification in a related field (i.e. marketing) from an accredited body is preferred. 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696C682" w14:textId="77777777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>Five (5) years of professional experience in student housing or recruitment, admissions, or registrars is required.</w:t>
      </w:r>
    </w:p>
    <w:p w14:paraId="5950F229" w14:textId="6BBB4218" w:rsidR="00E54FBC" w:rsidRDefault="00E54FBC" w:rsidP="002C1F67">
      <w:pPr>
        <w:pStyle w:val="ListParagraph"/>
        <w:numPr>
          <w:ilvl w:val="0"/>
          <w:numId w:val="30"/>
        </w:numPr>
        <w:ind w:left="360"/>
      </w:pPr>
      <w:r>
        <w:t>Demonstrated ability to lead teams, manage staff performance, and apply HR practices.</w:t>
      </w:r>
    </w:p>
    <w:p w14:paraId="414A6229" w14:textId="6B839D52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>
        <w:t>Experience i</w:t>
      </w:r>
      <w:r w:rsidR="00E54FBC">
        <w:t>mproving administrative workflows and implementing technology-supported processes.</w:t>
      </w:r>
    </w:p>
    <w:p w14:paraId="5DA49F2D" w14:textId="77777777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 xml:space="preserve">Experience with admissions and occupancy and recruitment. </w:t>
      </w:r>
    </w:p>
    <w:p w14:paraId="0F7B6ADA" w14:textId="77777777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 xml:space="preserve">Knowledge of best practices and guiding frameworks in student housing including but not limited to: ACUHO-I Standards and ACUHO-I Core Competencies. </w:t>
      </w:r>
    </w:p>
    <w:p w14:paraId="01575DA5" w14:textId="77777777" w:rsidR="00E54FBC" w:rsidRDefault="00E54FBC" w:rsidP="002C1F67">
      <w:pPr>
        <w:pStyle w:val="ListParagraph"/>
        <w:numPr>
          <w:ilvl w:val="0"/>
          <w:numId w:val="30"/>
        </w:numPr>
        <w:ind w:left="360"/>
      </w:pPr>
      <w:r>
        <w:t xml:space="preserve">Strong analytical abilities and experience preparing reports, forecasts, and operational assessments. </w:t>
      </w:r>
    </w:p>
    <w:p w14:paraId="0CBED715" w14:textId="73904942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 xml:space="preserve">Demonstrated ability to interpret a variety of university, portfolio, and departmental procedures, policies, and practices in decision making. </w:t>
      </w:r>
    </w:p>
    <w:p w14:paraId="104E08B7" w14:textId="3612C69F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>
        <w:t xml:space="preserve">Ability to </w:t>
      </w:r>
      <w:r w:rsidR="00E54FBC">
        <w:t>manage competing priorities in a fast-paced business environment.</w:t>
      </w:r>
      <w:r>
        <w:t xml:space="preserve">  </w:t>
      </w:r>
    </w:p>
    <w:p w14:paraId="1CB0FDEB" w14:textId="77777777" w:rsidR="002A5455" w:rsidRPr="002C1F67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 xml:space="preserve">Excellent judgement with an ability to identify problems, weigh options, and make independent decisions. </w:t>
      </w:r>
    </w:p>
    <w:p w14:paraId="4D09E501" w14:textId="77777777" w:rsidR="002A5455" w:rsidRDefault="002A5455" w:rsidP="002C1F67">
      <w:pPr>
        <w:pStyle w:val="ListParagraph"/>
        <w:numPr>
          <w:ilvl w:val="0"/>
          <w:numId w:val="30"/>
        </w:numPr>
        <w:ind w:left="360"/>
      </w:pPr>
      <w:r w:rsidRPr="002C1F67">
        <w:t xml:space="preserve">Demonstrated commitment to and understanding of equity, diversity, inclusion, Indigeneity, and accessibility. </w:t>
      </w:r>
    </w:p>
    <w:p w14:paraId="7FAD6B26" w14:textId="19F2AA55" w:rsidR="001D4376" w:rsidRPr="002C1F67" w:rsidRDefault="001D4376" w:rsidP="002C1F67">
      <w:pPr>
        <w:pStyle w:val="ListParagraph"/>
        <w:numPr>
          <w:ilvl w:val="0"/>
          <w:numId w:val="30"/>
        </w:numPr>
        <w:ind w:left="360"/>
      </w:pPr>
      <w:r>
        <w:t>Occasional evening and weekend work required.</w:t>
      </w:r>
    </w:p>
    <w:p w14:paraId="1A73EDF9" w14:textId="233324F4" w:rsidR="002C1F67" w:rsidRDefault="002A5455" w:rsidP="002C1F67">
      <w:pPr>
        <w:pStyle w:val="ListParagraph"/>
        <w:numPr>
          <w:ilvl w:val="0"/>
          <w:numId w:val="30"/>
        </w:numPr>
        <w:ind w:left="360"/>
      </w:pPr>
      <w:r>
        <w:t>An Ontario G</w:t>
      </w:r>
      <w:r w:rsidR="00E54FBC">
        <w:t>-c</w:t>
      </w:r>
      <w:r>
        <w:t>lass driver's license with access to a vehicle.</w:t>
      </w:r>
    </w:p>
    <w:p w14:paraId="5284153C" w14:textId="6A8D301D" w:rsidR="002C1F67" w:rsidRPr="002C1F67" w:rsidRDefault="002C1F67" w:rsidP="002C1F67">
      <w:pPr>
        <w:pStyle w:val="ListParagraph"/>
        <w:numPr>
          <w:ilvl w:val="0"/>
          <w:numId w:val="30"/>
        </w:numPr>
        <w:ind w:left="360"/>
      </w:pPr>
      <w:r>
        <w:t>A satisfactory Criminal Record Check, dated within the past six (6) months is required as a condition of employment.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44124B2" w14:textId="1A3AA51E" w:rsidR="00407643" w:rsidRDefault="00407643" w:rsidP="002C1F67">
      <w:pPr>
        <w:pStyle w:val="ListParagraph"/>
        <w:numPr>
          <w:ilvl w:val="0"/>
          <w:numId w:val="30"/>
        </w:numPr>
        <w:ind w:left="360"/>
      </w:pPr>
      <w:r>
        <w:t>Direct Reports (</w:t>
      </w:r>
      <w:r w:rsidR="001D4376">
        <w:t>4.</w:t>
      </w:r>
      <w:r w:rsidR="10612D12">
        <w:t>5</w:t>
      </w:r>
      <w:r>
        <w:t>):</w:t>
      </w:r>
    </w:p>
    <w:p w14:paraId="0229BA34" w14:textId="386DDC73" w:rsidR="00407643" w:rsidRDefault="00407643" w:rsidP="002C1F67">
      <w:pPr>
        <w:pStyle w:val="ListParagraph"/>
        <w:numPr>
          <w:ilvl w:val="1"/>
          <w:numId w:val="30"/>
        </w:numPr>
      </w:pPr>
      <w:r>
        <w:t xml:space="preserve">Occupancy </w:t>
      </w:r>
      <w:r w:rsidR="00E54FBC">
        <w:t xml:space="preserve">Operations </w:t>
      </w:r>
      <w:r>
        <w:t>Coordinator</w:t>
      </w:r>
    </w:p>
    <w:p w14:paraId="15D901FC" w14:textId="6AAE7ECC" w:rsidR="00407643" w:rsidRDefault="00407643" w:rsidP="002C1F67">
      <w:pPr>
        <w:pStyle w:val="ListParagraph"/>
        <w:numPr>
          <w:ilvl w:val="1"/>
          <w:numId w:val="30"/>
        </w:numPr>
      </w:pPr>
      <w:r>
        <w:t xml:space="preserve">Occupancy </w:t>
      </w:r>
      <w:r w:rsidR="00E54FBC">
        <w:t>Services Coordinator</w:t>
      </w:r>
      <w:r>
        <w:t xml:space="preserve"> </w:t>
      </w:r>
    </w:p>
    <w:p w14:paraId="412DD0A7" w14:textId="1AC1E3A6" w:rsidR="00407643" w:rsidRDefault="00407643" w:rsidP="1C712B26">
      <w:pPr>
        <w:pStyle w:val="ListParagraph"/>
        <w:numPr>
          <w:ilvl w:val="1"/>
          <w:numId w:val="30"/>
        </w:numPr>
        <w:spacing w:after="0"/>
      </w:pPr>
      <w:r>
        <w:t xml:space="preserve">Business Systems Analyst </w:t>
      </w:r>
      <w:r w:rsidR="00E54FBC">
        <w:t>(1.5)</w:t>
      </w:r>
    </w:p>
    <w:p w14:paraId="021D22F2" w14:textId="2BFFEDB7" w:rsidR="00E54FBC" w:rsidRDefault="00407643" w:rsidP="01A67BBC">
      <w:pPr>
        <w:numPr>
          <w:ilvl w:val="1"/>
          <w:numId w:val="30"/>
        </w:numPr>
      </w:pPr>
      <w:r>
        <w:t>Marketing &amp; Communications Coordinato</w:t>
      </w:r>
      <w:r w:rsidR="4960BF4F">
        <w:t>r</w:t>
      </w:r>
    </w:p>
    <w:p w14:paraId="250B243E" w14:textId="59F0B358" w:rsidR="00407643" w:rsidRDefault="00407643" w:rsidP="002C1F67">
      <w:pPr>
        <w:pStyle w:val="ListParagraph"/>
        <w:numPr>
          <w:ilvl w:val="0"/>
          <w:numId w:val="30"/>
        </w:numPr>
        <w:ind w:left="360"/>
      </w:pPr>
      <w:r>
        <w:t>Indirect Reports (13):</w:t>
      </w:r>
    </w:p>
    <w:p w14:paraId="377A2A0D" w14:textId="009DFC19" w:rsidR="00407643" w:rsidRPr="00064EAD" w:rsidRDefault="00407643" w:rsidP="002C1F67">
      <w:pPr>
        <w:pStyle w:val="ListParagraph"/>
        <w:numPr>
          <w:ilvl w:val="1"/>
          <w:numId w:val="30"/>
        </w:numPr>
      </w:pPr>
      <w:r>
        <w:t xml:space="preserve">A minimum of </w:t>
      </w:r>
      <w:r w:rsidR="00E54FBC">
        <w:t>10</w:t>
      </w:r>
      <w:r>
        <w:t xml:space="preserve"> student employees</w:t>
      </w:r>
    </w:p>
    <w:p w14:paraId="5EF1374E" w14:textId="3E595EBA" w:rsidR="00CA2A5E" w:rsidRDefault="00CA2A5E"/>
    <w:p w14:paraId="445DB8EA" w14:textId="77777777" w:rsidR="00CC35DD" w:rsidRDefault="00CC35DD"/>
    <w:sectPr w:rsidR="00CC35DD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2C57" w14:textId="77777777" w:rsidR="0090545C" w:rsidRDefault="0090545C" w:rsidP="00937CA4">
      <w:pPr>
        <w:spacing w:after="0" w:line="240" w:lineRule="auto"/>
      </w:pPr>
      <w:r>
        <w:separator/>
      </w:r>
    </w:p>
  </w:endnote>
  <w:endnote w:type="continuationSeparator" w:id="0">
    <w:p w14:paraId="60576DE5" w14:textId="77777777" w:rsidR="0090545C" w:rsidRDefault="0090545C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9B9206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C1F67" w:rsidRPr="002C1F6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X-490 | VIP: 2050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8275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8678" w14:textId="77777777" w:rsidR="0090545C" w:rsidRDefault="0090545C" w:rsidP="00937CA4">
      <w:pPr>
        <w:spacing w:after="0" w:line="240" w:lineRule="auto"/>
      </w:pPr>
      <w:r>
        <w:separator/>
      </w:r>
    </w:p>
  </w:footnote>
  <w:footnote w:type="continuationSeparator" w:id="0">
    <w:p w14:paraId="4836AD99" w14:textId="77777777" w:rsidR="0090545C" w:rsidRDefault="0090545C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0528B"/>
    <w:multiLevelType w:val="hybridMultilevel"/>
    <w:tmpl w:val="ACC0E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1EF9"/>
    <w:multiLevelType w:val="hybridMultilevel"/>
    <w:tmpl w:val="C8224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A6F2ACC"/>
    <w:multiLevelType w:val="hybridMultilevel"/>
    <w:tmpl w:val="EE9A50DC"/>
    <w:lvl w:ilvl="0" w:tplc="CF70B4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33D318F"/>
    <w:multiLevelType w:val="hybridMultilevel"/>
    <w:tmpl w:val="F9F49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A53045"/>
    <w:multiLevelType w:val="hybridMultilevel"/>
    <w:tmpl w:val="061E0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0425E2"/>
    <w:multiLevelType w:val="hybridMultilevel"/>
    <w:tmpl w:val="BE94DF44"/>
    <w:lvl w:ilvl="0" w:tplc="7814FC3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598"/>
    <w:multiLevelType w:val="hybridMultilevel"/>
    <w:tmpl w:val="6B3EB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0"/>
  </w:num>
  <w:num w:numId="2" w16cid:durableId="1955015901">
    <w:abstractNumId w:val="9"/>
  </w:num>
  <w:num w:numId="3" w16cid:durableId="1016268606">
    <w:abstractNumId w:val="19"/>
  </w:num>
  <w:num w:numId="4" w16cid:durableId="1858501020">
    <w:abstractNumId w:val="15"/>
  </w:num>
  <w:num w:numId="5" w16cid:durableId="1142041592">
    <w:abstractNumId w:val="17"/>
  </w:num>
  <w:num w:numId="6" w16cid:durableId="908883859">
    <w:abstractNumId w:val="11"/>
  </w:num>
  <w:num w:numId="7" w16cid:durableId="1342707894">
    <w:abstractNumId w:val="13"/>
  </w:num>
  <w:num w:numId="8" w16cid:durableId="1325619791">
    <w:abstractNumId w:val="24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8"/>
  </w:num>
  <w:num w:numId="12" w16cid:durableId="1062026136">
    <w:abstractNumId w:val="22"/>
  </w:num>
  <w:num w:numId="13" w16cid:durableId="961499177">
    <w:abstractNumId w:val="34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3"/>
  </w:num>
  <w:num w:numId="17" w16cid:durableId="200627671">
    <w:abstractNumId w:val="21"/>
  </w:num>
  <w:num w:numId="18" w16cid:durableId="1747721941">
    <w:abstractNumId w:val="27"/>
  </w:num>
  <w:num w:numId="19" w16cid:durableId="219639028">
    <w:abstractNumId w:val="2"/>
  </w:num>
  <w:num w:numId="20" w16cid:durableId="24722530">
    <w:abstractNumId w:val="29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3"/>
  </w:num>
  <w:num w:numId="24" w16cid:durableId="1596203280">
    <w:abstractNumId w:val="31"/>
  </w:num>
  <w:num w:numId="25" w16cid:durableId="1276979215">
    <w:abstractNumId w:val="10"/>
  </w:num>
  <w:num w:numId="26" w16cid:durableId="1453817592">
    <w:abstractNumId w:val="14"/>
  </w:num>
  <w:num w:numId="27" w16cid:durableId="1160345557">
    <w:abstractNumId w:val="25"/>
  </w:num>
  <w:num w:numId="28" w16cid:durableId="203716667">
    <w:abstractNumId w:val="35"/>
  </w:num>
  <w:num w:numId="29" w16cid:durableId="1600789881">
    <w:abstractNumId w:val="6"/>
  </w:num>
  <w:num w:numId="30" w16cid:durableId="719134665">
    <w:abstractNumId w:val="7"/>
  </w:num>
  <w:num w:numId="31" w16cid:durableId="368771856">
    <w:abstractNumId w:val="8"/>
  </w:num>
  <w:num w:numId="32" w16cid:durableId="1774743237">
    <w:abstractNumId w:val="18"/>
  </w:num>
  <w:num w:numId="33" w16cid:durableId="92014581">
    <w:abstractNumId w:val="32"/>
  </w:num>
  <w:num w:numId="34" w16cid:durableId="112094870">
    <w:abstractNumId w:val="16"/>
  </w:num>
  <w:num w:numId="35" w16cid:durableId="105733841">
    <w:abstractNumId w:val="30"/>
  </w:num>
  <w:num w:numId="36" w16cid:durableId="267735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96C78"/>
    <w:rsid w:val="000D32FE"/>
    <w:rsid w:val="000F5C8D"/>
    <w:rsid w:val="00104589"/>
    <w:rsid w:val="00110344"/>
    <w:rsid w:val="0014517E"/>
    <w:rsid w:val="00165A5B"/>
    <w:rsid w:val="00183F8C"/>
    <w:rsid w:val="00187810"/>
    <w:rsid w:val="00190B43"/>
    <w:rsid w:val="00194EFB"/>
    <w:rsid w:val="001A6BCE"/>
    <w:rsid w:val="001D4376"/>
    <w:rsid w:val="001E6A32"/>
    <w:rsid w:val="00236594"/>
    <w:rsid w:val="00242A13"/>
    <w:rsid w:val="002615EA"/>
    <w:rsid w:val="00281D96"/>
    <w:rsid w:val="002A5455"/>
    <w:rsid w:val="002B7923"/>
    <w:rsid w:val="002C1F67"/>
    <w:rsid w:val="00304028"/>
    <w:rsid w:val="00336BE1"/>
    <w:rsid w:val="00352124"/>
    <w:rsid w:val="00391E1E"/>
    <w:rsid w:val="003A4214"/>
    <w:rsid w:val="003B48E3"/>
    <w:rsid w:val="003B7BA5"/>
    <w:rsid w:val="003C2F29"/>
    <w:rsid w:val="00407643"/>
    <w:rsid w:val="00446E13"/>
    <w:rsid w:val="00485C71"/>
    <w:rsid w:val="0049727F"/>
    <w:rsid w:val="004A3B00"/>
    <w:rsid w:val="004A4053"/>
    <w:rsid w:val="004E235F"/>
    <w:rsid w:val="004E43E6"/>
    <w:rsid w:val="004E5747"/>
    <w:rsid w:val="00516FED"/>
    <w:rsid w:val="005232FF"/>
    <w:rsid w:val="005277D9"/>
    <w:rsid w:val="00542B5E"/>
    <w:rsid w:val="00553DA3"/>
    <w:rsid w:val="00570965"/>
    <w:rsid w:val="00582DDD"/>
    <w:rsid w:val="005A4630"/>
    <w:rsid w:val="005A56CB"/>
    <w:rsid w:val="005B4D50"/>
    <w:rsid w:val="005D63A8"/>
    <w:rsid w:val="00622A09"/>
    <w:rsid w:val="00625D1D"/>
    <w:rsid w:val="00631575"/>
    <w:rsid w:val="006320BB"/>
    <w:rsid w:val="00644EFB"/>
    <w:rsid w:val="00667DA0"/>
    <w:rsid w:val="006F3014"/>
    <w:rsid w:val="00716FA8"/>
    <w:rsid w:val="00741DDC"/>
    <w:rsid w:val="00742752"/>
    <w:rsid w:val="00767F84"/>
    <w:rsid w:val="0079523E"/>
    <w:rsid w:val="007A73FD"/>
    <w:rsid w:val="007B7C5D"/>
    <w:rsid w:val="008252C9"/>
    <w:rsid w:val="00830E66"/>
    <w:rsid w:val="008353E0"/>
    <w:rsid w:val="00847E66"/>
    <w:rsid w:val="00862C3F"/>
    <w:rsid w:val="008823ED"/>
    <w:rsid w:val="008C2C86"/>
    <w:rsid w:val="008C2FC1"/>
    <w:rsid w:val="008D6C87"/>
    <w:rsid w:val="008E5EBB"/>
    <w:rsid w:val="008F7F83"/>
    <w:rsid w:val="0090545C"/>
    <w:rsid w:val="009055DC"/>
    <w:rsid w:val="009242F6"/>
    <w:rsid w:val="00937CA4"/>
    <w:rsid w:val="00961622"/>
    <w:rsid w:val="00990F9E"/>
    <w:rsid w:val="00A01113"/>
    <w:rsid w:val="00A133B8"/>
    <w:rsid w:val="00A51592"/>
    <w:rsid w:val="00A62CFD"/>
    <w:rsid w:val="00A81A6B"/>
    <w:rsid w:val="00A96416"/>
    <w:rsid w:val="00AA03B3"/>
    <w:rsid w:val="00AA7E80"/>
    <w:rsid w:val="00AC0F1A"/>
    <w:rsid w:val="00AE314D"/>
    <w:rsid w:val="00B20CFD"/>
    <w:rsid w:val="00B20DB5"/>
    <w:rsid w:val="00B350BB"/>
    <w:rsid w:val="00B52436"/>
    <w:rsid w:val="00B72998"/>
    <w:rsid w:val="00B7728D"/>
    <w:rsid w:val="00B81258"/>
    <w:rsid w:val="00B8275C"/>
    <w:rsid w:val="00BC3FF0"/>
    <w:rsid w:val="00BD12F7"/>
    <w:rsid w:val="00BF0C79"/>
    <w:rsid w:val="00C24C32"/>
    <w:rsid w:val="00C628B3"/>
    <w:rsid w:val="00C734ED"/>
    <w:rsid w:val="00C76595"/>
    <w:rsid w:val="00C76967"/>
    <w:rsid w:val="00C807DD"/>
    <w:rsid w:val="00C8275E"/>
    <w:rsid w:val="00CA2A5E"/>
    <w:rsid w:val="00CA40CA"/>
    <w:rsid w:val="00CC35DD"/>
    <w:rsid w:val="00CC3798"/>
    <w:rsid w:val="00CE67A1"/>
    <w:rsid w:val="00CE77DE"/>
    <w:rsid w:val="00D268F1"/>
    <w:rsid w:val="00D43D42"/>
    <w:rsid w:val="00DB4288"/>
    <w:rsid w:val="00DD3A80"/>
    <w:rsid w:val="00DD61CF"/>
    <w:rsid w:val="00DF4C26"/>
    <w:rsid w:val="00E250BA"/>
    <w:rsid w:val="00E31034"/>
    <w:rsid w:val="00E54FBC"/>
    <w:rsid w:val="00E864AC"/>
    <w:rsid w:val="00E947D4"/>
    <w:rsid w:val="00E95B8F"/>
    <w:rsid w:val="00EA4CF6"/>
    <w:rsid w:val="00EA55A2"/>
    <w:rsid w:val="00ED4829"/>
    <w:rsid w:val="00EF0DE7"/>
    <w:rsid w:val="00EF599E"/>
    <w:rsid w:val="00F01190"/>
    <w:rsid w:val="00F06101"/>
    <w:rsid w:val="00F205C9"/>
    <w:rsid w:val="00F370F9"/>
    <w:rsid w:val="00F457DC"/>
    <w:rsid w:val="00F657BD"/>
    <w:rsid w:val="00F76C93"/>
    <w:rsid w:val="00F8711C"/>
    <w:rsid w:val="00FA63D6"/>
    <w:rsid w:val="00FA70D4"/>
    <w:rsid w:val="00FF6B5F"/>
    <w:rsid w:val="01A67BBC"/>
    <w:rsid w:val="10612D12"/>
    <w:rsid w:val="1C712B26"/>
    <w:rsid w:val="4960B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52124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1D4376"/>
  </w:style>
  <w:style w:type="character" w:styleId="Strong">
    <w:name w:val="Strong"/>
    <w:basedOn w:val="DefaultParagraphFont"/>
    <w:uiPriority w:val="22"/>
    <w:qFormat/>
    <w:rsid w:val="001D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C6197-D8CB-4963-BC29-095254B8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F7824-542E-4122-A0E7-7B2A09F45539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customXml/itemProps4.xml><?xml version="1.0" encoding="utf-8"?>
<ds:datastoreItem xmlns:ds="http://schemas.openxmlformats.org/officeDocument/2006/customXml" ds:itemID="{C2C0F71D-8508-4BDB-B4FA-E5AD8005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4805</Characters>
  <Application>Microsoft Office Word</Application>
  <DocSecurity>0</DocSecurity>
  <Lines>40</Lines>
  <Paragraphs>11</Paragraphs>
  <ScaleCrop>false</ScaleCrop>
  <Company>Trent University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2026-05-01T21:46:00Z</dcterms:created>
  <dcterms:modified xsi:type="dcterms:W3CDTF">2026-05-01T21:47:00Z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7c4d41fc08f833a2f70dd2def839ca8f51f5839b621584acb67c7443e1f7a745</vt:lpwstr>
  </property>
  <property fmtid="{D5CDD505-2E9C-101B-9397-08002B2CF9AE}" pid="3" name="ContentTypeId">
    <vt:lpwstr>0x0101001B91395069C62C4587F79DA86643D0EB</vt:lpwstr>
  </property>
  <property fmtid="{D5CDD505-2E9C-101B-9397-08002B2CF9AE}" pid="4" name="MediaServiceImageTags">
    <vt:lpwstr/>
  </property>
</Properties>
</file>