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7676A1E9" w:rsidR="00AE314D" w:rsidRPr="00052B69" w:rsidRDefault="108DAD22" w:rsidP="063BC8D9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063BC8D9">
        <w:rPr>
          <w:rStyle w:val="Heading2Char"/>
          <w:b/>
          <w:color w:val="000000" w:themeColor="text1"/>
          <w:sz w:val="26"/>
          <w:szCs w:val="26"/>
        </w:rPr>
        <w:t>Job Title:</w:t>
      </w:r>
      <w:r w:rsidRPr="063BC8D9">
        <w:rPr>
          <w:rFonts w:cs="Arial"/>
          <w:color w:val="000000" w:themeColor="text1"/>
          <w:sz w:val="26"/>
          <w:szCs w:val="26"/>
        </w:rPr>
        <w:t xml:space="preserve"> </w:t>
      </w:r>
      <w:r w:rsidR="00A133B8">
        <w:tab/>
      </w:r>
      <w:r w:rsidR="00A133B8">
        <w:tab/>
      </w:r>
      <w:r w:rsidR="00286A0F">
        <w:rPr>
          <w:rFonts w:cs="Arial"/>
          <w:color w:val="000000" w:themeColor="text1"/>
          <w:sz w:val="26"/>
          <w:szCs w:val="26"/>
        </w:rPr>
        <w:t>Business Finance Analyst</w:t>
      </w:r>
    </w:p>
    <w:p w14:paraId="54B0CDFE" w14:textId="043EDFAF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189233961"/>
      <w:r w:rsidR="00CE0B98">
        <w:rPr>
          <w:rFonts w:cs="Arial"/>
          <w:bCs/>
          <w:color w:val="000000" w:themeColor="text1"/>
          <w:sz w:val="26"/>
          <w:szCs w:val="26"/>
        </w:rPr>
        <w:t>X-48</w:t>
      </w:r>
      <w:r w:rsidR="00B6297C">
        <w:rPr>
          <w:rFonts w:cs="Arial"/>
          <w:bCs/>
          <w:color w:val="000000" w:themeColor="text1"/>
          <w:sz w:val="26"/>
          <w:szCs w:val="26"/>
        </w:rPr>
        <w:t>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</w:t>
      </w:r>
      <w:r w:rsidR="00CE0B98">
        <w:rPr>
          <w:rFonts w:cs="Arial"/>
          <w:bCs/>
          <w:color w:val="000000" w:themeColor="text1"/>
          <w:sz w:val="26"/>
          <w:szCs w:val="26"/>
        </w:rPr>
        <w:t xml:space="preserve"> 204</w:t>
      </w:r>
      <w:r w:rsidR="00B6297C">
        <w:rPr>
          <w:rFonts w:cs="Arial"/>
          <w:bCs/>
          <w:color w:val="000000" w:themeColor="text1"/>
          <w:sz w:val="26"/>
          <w:szCs w:val="26"/>
        </w:rPr>
        <w:t>5</w:t>
      </w:r>
      <w:r w:rsidR="00CE0B98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</w:t>
      </w:r>
      <w:bookmarkEnd w:id="0"/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51F4F457" w:rsidR="00A133B8" w:rsidRPr="00F205C9" w:rsidRDefault="108DAD22" w:rsidP="063BC8D9">
      <w:pPr>
        <w:tabs>
          <w:tab w:val="left" w:pos="1980"/>
        </w:tabs>
        <w:ind w:left="2160" w:hanging="2160"/>
        <w:rPr>
          <w:rFonts w:eastAsiaTheme="majorEastAsia" w:cs="Arial"/>
          <w:b/>
          <w:bCs/>
          <w:noProof/>
          <w:color w:val="000000" w:themeColor="text1"/>
          <w:sz w:val="26"/>
          <w:szCs w:val="26"/>
        </w:rPr>
      </w:pPr>
      <w:r w:rsidRPr="063BC8D9">
        <w:rPr>
          <w:rStyle w:val="Heading2Char"/>
          <w:b/>
          <w:color w:val="000000" w:themeColor="text1"/>
          <w:sz w:val="26"/>
          <w:szCs w:val="26"/>
        </w:rPr>
        <w:t>Band:</w:t>
      </w:r>
      <w:r w:rsidR="00A133B8">
        <w:tab/>
      </w:r>
      <w:r w:rsidR="00A133B8">
        <w:tab/>
      </w:r>
      <w:r w:rsidR="00A133B8">
        <w:tab/>
      </w:r>
      <w:r w:rsidR="7A6D70B5" w:rsidRPr="063BC8D9">
        <w:rPr>
          <w:rStyle w:val="Heading2Char"/>
          <w:color w:val="000000" w:themeColor="text1"/>
          <w:sz w:val="26"/>
          <w:szCs w:val="26"/>
        </w:rPr>
        <w:t>EXEMPT</w:t>
      </w:r>
      <w:r w:rsidR="536DE585" w:rsidRPr="063BC8D9">
        <w:rPr>
          <w:rStyle w:val="Heading2Char"/>
          <w:color w:val="000000" w:themeColor="text1"/>
          <w:sz w:val="26"/>
          <w:szCs w:val="26"/>
        </w:rPr>
        <w:t>-</w:t>
      </w:r>
      <w:r w:rsidR="7DF7A49F" w:rsidRPr="063BC8D9">
        <w:rPr>
          <w:rStyle w:val="Heading2Char"/>
          <w:color w:val="000000" w:themeColor="text1"/>
          <w:sz w:val="26"/>
          <w:szCs w:val="26"/>
        </w:rPr>
        <w:t>5</w:t>
      </w:r>
      <w:r w:rsidR="00A133B8">
        <w:tab/>
      </w:r>
      <w:r w:rsidR="00A133B8">
        <w:tab/>
      </w:r>
      <w:r w:rsidR="00A133B8">
        <w:tab/>
      </w:r>
      <w:r w:rsidR="00A133B8">
        <w:tab/>
      </w:r>
      <w:r w:rsidR="00A133B8">
        <w:tab/>
      </w:r>
      <w:r w:rsidR="00A133B8">
        <w:tab/>
      </w:r>
      <w:r w:rsidR="00A133B8">
        <w:tab/>
      </w:r>
    </w:p>
    <w:p w14:paraId="03B91C93" w14:textId="54C9DD4D" w:rsidR="00A133B8" w:rsidRPr="00052B69" w:rsidRDefault="108DAD22" w:rsidP="063BC8D9">
      <w:pPr>
        <w:tabs>
          <w:tab w:val="left" w:pos="1980"/>
        </w:tabs>
        <w:ind w:left="2160" w:hanging="2160"/>
        <w:rPr>
          <w:rFonts w:cs="Arial"/>
          <w:color w:val="000000" w:themeColor="text1"/>
          <w:sz w:val="26"/>
          <w:szCs w:val="26"/>
        </w:rPr>
      </w:pPr>
      <w:r w:rsidRPr="063BC8D9">
        <w:rPr>
          <w:rStyle w:val="Heading2Char"/>
          <w:b/>
          <w:color w:val="000000" w:themeColor="text1"/>
          <w:sz w:val="26"/>
          <w:szCs w:val="26"/>
        </w:rPr>
        <w:t>Department:</w:t>
      </w:r>
      <w:r w:rsidRPr="063BC8D9">
        <w:rPr>
          <w:rFonts w:cs="Arial"/>
          <w:color w:val="000000" w:themeColor="text1"/>
          <w:sz w:val="26"/>
          <w:szCs w:val="26"/>
        </w:rPr>
        <w:t xml:space="preserve"> </w:t>
      </w:r>
      <w:r w:rsidR="00A133B8">
        <w:tab/>
      </w:r>
      <w:r w:rsidR="00A133B8">
        <w:tab/>
      </w:r>
      <w:r w:rsidR="00A133B8">
        <w:tab/>
      </w:r>
      <w:r w:rsidR="651E631C" w:rsidRPr="063BC8D9">
        <w:rPr>
          <w:rFonts w:cs="Arial"/>
          <w:color w:val="000000" w:themeColor="text1"/>
          <w:sz w:val="26"/>
          <w:szCs w:val="26"/>
        </w:rPr>
        <w:t>Housing &amp; Conference Services</w:t>
      </w:r>
      <w:r w:rsidR="00A133B8">
        <w:tab/>
      </w:r>
      <w:r w:rsidR="00A133B8">
        <w:tab/>
      </w:r>
      <w:r w:rsidR="00A133B8">
        <w:tab/>
      </w:r>
    </w:p>
    <w:p w14:paraId="65D10A2A" w14:textId="63C6EB47" w:rsidR="008F7F83" w:rsidRPr="005277D9" w:rsidRDefault="108DAD22" w:rsidP="00FF6B5F">
      <w:pPr>
        <w:tabs>
          <w:tab w:val="left" w:pos="1980"/>
        </w:tabs>
        <w:ind w:left="2880" w:hanging="2880"/>
        <w:rPr>
          <w:rStyle w:val="Heading2Char"/>
          <w:color w:val="000000" w:themeColor="text1"/>
          <w:sz w:val="26"/>
          <w:szCs w:val="26"/>
        </w:rPr>
      </w:pPr>
      <w:r w:rsidRPr="063BC8D9">
        <w:rPr>
          <w:rStyle w:val="Heading2Char"/>
          <w:b/>
          <w:color w:val="000000" w:themeColor="text1"/>
          <w:sz w:val="26"/>
          <w:szCs w:val="26"/>
        </w:rPr>
        <w:t>Supervisor Title:</w:t>
      </w:r>
      <w:r w:rsidR="7B3EA467" w:rsidRPr="063BC8D9">
        <w:rPr>
          <w:rStyle w:val="Heading2Char"/>
          <w:color w:val="000000" w:themeColor="text1"/>
          <w:sz w:val="26"/>
          <w:szCs w:val="26"/>
        </w:rPr>
        <w:t xml:space="preserve"> </w:t>
      </w:r>
      <w:r w:rsidR="00A133B8">
        <w:tab/>
      </w:r>
      <w:r w:rsidR="7DF7A49F" w:rsidRPr="063BC8D9">
        <w:rPr>
          <w:rStyle w:val="Heading2Char"/>
          <w:color w:val="000000" w:themeColor="text1"/>
          <w:sz w:val="26"/>
          <w:szCs w:val="26"/>
        </w:rPr>
        <w:t xml:space="preserve">Senior Director, </w:t>
      </w:r>
      <w:r w:rsidR="651E631C" w:rsidRPr="063BC8D9">
        <w:rPr>
          <w:rStyle w:val="Heading2Char"/>
          <w:color w:val="000000" w:themeColor="text1"/>
          <w:sz w:val="26"/>
          <w:szCs w:val="26"/>
        </w:rPr>
        <w:t>Housing &amp; Conference Services</w:t>
      </w:r>
    </w:p>
    <w:p w14:paraId="6321F5BD" w14:textId="7BE4A019" w:rsidR="00AE314D" w:rsidRPr="00052B69" w:rsidRDefault="108DAD22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63BC8D9">
        <w:rPr>
          <w:rStyle w:val="Heading2Char"/>
          <w:b/>
          <w:color w:val="000000" w:themeColor="text1"/>
          <w:sz w:val="26"/>
          <w:szCs w:val="26"/>
        </w:rPr>
        <w:t>Last Reviewed:</w:t>
      </w:r>
      <w:r w:rsidR="00A133B8">
        <w:tab/>
      </w:r>
      <w:r w:rsidR="00A133B8">
        <w:tab/>
      </w:r>
      <w:r w:rsidR="00A133B8">
        <w:tab/>
      </w:r>
      <w:r w:rsidR="00286A0F">
        <w:t>April 24, 2026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E4F2A2E" w14:textId="77777777" w:rsidR="0022446C" w:rsidRDefault="5C26CC2B" w:rsidP="0022446C">
      <w:pPr>
        <w:spacing w:after="0"/>
      </w:pPr>
      <w:r>
        <w:t xml:space="preserve">Reporting </w:t>
      </w:r>
      <w:r w:rsidR="7DF7A49F">
        <w:t xml:space="preserve">to the Senior Director, the </w:t>
      </w:r>
      <w:r w:rsidR="00286A0F" w:rsidRPr="00286A0F">
        <w:t>Business Finance Analyst</w:t>
      </w:r>
      <w:r w:rsidR="651E631C">
        <w:t xml:space="preserve">, </w:t>
      </w:r>
      <w:r w:rsidR="0022446C">
        <w:t>supports Housing and Conference Services’ financial management by leading long-term financial strategies, providing data-driven insights, advising leadership, and guiding resource-allocation decisions.</w:t>
      </w:r>
    </w:p>
    <w:p w14:paraId="0E11EBF3" w14:textId="77777777" w:rsidR="0022446C" w:rsidRDefault="0022446C" w:rsidP="0022446C">
      <w:pPr>
        <w:spacing w:after="0"/>
      </w:pPr>
    </w:p>
    <w:p w14:paraId="60957675" w14:textId="0C1D747C" w:rsidR="0022446C" w:rsidRDefault="0022446C" w:rsidP="0022446C">
      <w:pPr>
        <w:spacing w:after="0"/>
      </w:pPr>
      <w:r>
        <w:t xml:space="preserve">Operating within institutional financial policies, and the strategic direction set by senior leadership, the </w:t>
      </w:r>
      <w:r>
        <w:t>Analyst</w:t>
      </w:r>
      <w:r>
        <w:t xml:space="preserve"> oversees core financial functions including budgeting, forecasting, payroll coordination, and financial auditing, to ensure operational excellence and fiscal sustainability. The incumbent exercises independent decision-making authority related to financial analysis methods, forecasting models, reporting frameworks, internal controls, and operational financial processes. </w:t>
      </w:r>
    </w:p>
    <w:p w14:paraId="60EE54A6" w14:textId="77777777" w:rsidR="0022446C" w:rsidRDefault="0022446C" w:rsidP="0022446C">
      <w:pPr>
        <w:spacing w:after="0"/>
      </w:pPr>
    </w:p>
    <w:p w14:paraId="34911A7A" w14:textId="32323E98" w:rsidR="004E43E6" w:rsidRPr="002552CC" w:rsidRDefault="0022446C" w:rsidP="0022446C">
      <w:pPr>
        <w:spacing w:after="0"/>
      </w:pPr>
      <w:r>
        <w:t>Working collaboratively with campus partners, and external stakeholders, the role strengthens business processes, enhances financial transparency and enables informed decision-making that supports the student and guest experiences</w:t>
      </w:r>
      <w:r w:rsidR="651E631C">
        <w:t xml:space="preserve">.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37BC0382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Lead financial planning, budgeting, and multi-year forecasting for Housing and Conference Services, ensuring accuracy, transparency, and alignment with institutional priorities. </w:t>
      </w:r>
    </w:p>
    <w:p w14:paraId="42DF52AA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>Lead long-term financial strategy projects, including conducting financial analysis and modelling for capital planning, housing renewal initiatives, and revenue diversification efforts.</w:t>
      </w:r>
    </w:p>
    <w:p w14:paraId="0C7325B1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lastRenderedPageBreak/>
        <w:t xml:space="preserve">Provide strategic financial input to senior leadership, contributing to long-term planning, resource allocation, and operational decision-making. </w:t>
      </w:r>
    </w:p>
    <w:p w14:paraId="3879BA4A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Oversee payroll processes and applications for wage subsidy programs for exempt, OPSEU, and student employees in close collaboration with HR and </w:t>
      </w:r>
      <w:proofErr w:type="spellStart"/>
      <w:r>
        <w:rPr>
          <w:rFonts w:eastAsia="Arial" w:cs="Arial"/>
        </w:rPr>
        <w:t>Careerspace</w:t>
      </w:r>
      <w:proofErr w:type="spellEnd"/>
      <w:r>
        <w:rPr>
          <w:rFonts w:eastAsia="Arial" w:cs="Arial"/>
        </w:rPr>
        <w:t>.</w:t>
      </w:r>
    </w:p>
    <w:p w14:paraId="30EC6B32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Provide expert advice on revenue-generating strategies and perform financial analysis to support fee modelling and forecasting. </w:t>
      </w:r>
    </w:p>
    <w:p w14:paraId="78D92D7C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Develop and maintain financial reporting dashboards, reports, and analytical tools that support data-driven decision-making for senior leadership and operational teams. </w:t>
      </w:r>
    </w:p>
    <w:p w14:paraId="3EB2E376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>Monitor departmental financial health by analyzing variances, identifying risks, and recommending corrective actions to maintain fiscal stability.</w:t>
      </w:r>
    </w:p>
    <w:p w14:paraId="6FCCF19E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Manage accounting functions, including auditing charges to student and guest accounts, reconciliations, month-end close processes, and compliance with institutional and audit standards. </w:t>
      </w:r>
    </w:p>
    <w:p w14:paraId="245E2CBE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>Collaborate with other operational leaders to streamline financial workflows, improve efficiency, and strengthen internal controls.</w:t>
      </w:r>
    </w:p>
    <w:p w14:paraId="4BE72FB1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 xml:space="preserve">Serve as a key liaison with central finance, procurement, and accounts receivable to ensure alignment with institutional policies and best practices. </w:t>
      </w:r>
    </w:p>
    <w:p w14:paraId="7F1D7BC1" w14:textId="77777777" w:rsidR="0022446C" w:rsidRDefault="0022446C" w:rsidP="0022446C">
      <w:pPr>
        <w:pStyle w:val="ListParagraph"/>
        <w:numPr>
          <w:ilvl w:val="0"/>
          <w:numId w:val="28"/>
        </w:numPr>
        <w:spacing w:line="256" w:lineRule="auto"/>
        <w:rPr>
          <w:rFonts w:eastAsia="Arial" w:cs="Arial"/>
        </w:rPr>
      </w:pPr>
      <w:r>
        <w:rPr>
          <w:rFonts w:eastAsia="Arial" w:cs="Arial"/>
        </w:rPr>
        <w:t>Supervise, train, manage performance and mentor student employees, fostering a culture of accuracy, accountability, and continuous improvement.</w:t>
      </w:r>
    </w:p>
    <w:p w14:paraId="3D67E604" w14:textId="77777777" w:rsidR="004D593E" w:rsidRPr="004216CA" w:rsidRDefault="651E631C" w:rsidP="063BC8D9">
      <w:pPr>
        <w:pStyle w:val="ListParagraph"/>
        <w:numPr>
          <w:ilvl w:val="0"/>
          <w:numId w:val="28"/>
        </w:numPr>
        <w:rPr>
          <w:rFonts w:eastAsia="Arial" w:cs="Arial"/>
        </w:rPr>
      </w:pPr>
      <w:r w:rsidRPr="063BC8D9">
        <w:rPr>
          <w:rFonts w:eastAsia="Arial" w:cs="Arial"/>
        </w:rPr>
        <w:t>Other duties as assigned.</w:t>
      </w:r>
    </w:p>
    <w:p w14:paraId="588D4E3A" w14:textId="1A872E34" w:rsidR="00AA03B3" w:rsidRPr="00286A0F" w:rsidRDefault="76B719E3" w:rsidP="00286A0F">
      <w:pPr>
        <w:pStyle w:val="Heading4"/>
        <w:rPr>
          <w:rFonts w:ascii="Arial" w:hAnsi="Arial" w:cs="Arial"/>
        </w:rPr>
      </w:pPr>
      <w:r w:rsidRPr="00286A0F">
        <w:rPr>
          <w:rFonts w:ascii="Arial" w:hAnsi="Arial" w:cs="Arial"/>
        </w:rPr>
        <w:t>Education Required</w:t>
      </w:r>
      <w:r w:rsidR="20564978" w:rsidRPr="00286A0F">
        <w:rPr>
          <w:rFonts w:ascii="Arial" w:hAnsi="Arial" w:cs="Arial"/>
        </w:rPr>
        <w:t>:</w:t>
      </w:r>
    </w:p>
    <w:p w14:paraId="764EC4C2" w14:textId="62CD61CC" w:rsidR="00B6297C" w:rsidRPr="00B6297C" w:rsidRDefault="7DF7A49F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eastAsia="Arial" w:cs="Arial"/>
        </w:rPr>
      </w:pPr>
      <w:r w:rsidRPr="063BC8D9">
        <w:rPr>
          <w:rFonts w:eastAsia="Arial" w:cs="Arial"/>
        </w:rPr>
        <w:t>Honours University Degree (4 year)</w:t>
      </w:r>
      <w:r w:rsidR="3F7BD87A" w:rsidRPr="063BC8D9">
        <w:rPr>
          <w:rFonts w:eastAsia="Arial" w:cs="Arial"/>
        </w:rPr>
        <w:t>,</w:t>
      </w:r>
      <w:r w:rsidRPr="063BC8D9">
        <w:rPr>
          <w:rFonts w:eastAsia="Arial" w:cs="Arial"/>
        </w:rPr>
        <w:t xml:space="preserve"> Accounting, Business, Finance, or e-Commerce.</w:t>
      </w:r>
    </w:p>
    <w:p w14:paraId="46DF3239" w14:textId="77777777" w:rsidR="00B6297C" w:rsidRPr="00B6297C" w:rsidRDefault="7DF7A49F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eastAsia="Arial" w:cs="Arial"/>
        </w:rPr>
      </w:pPr>
      <w:r w:rsidRPr="063BC8D9">
        <w:rPr>
          <w:rFonts w:eastAsia="Arial" w:cs="Arial"/>
        </w:rPr>
        <w:t>CPA designation body is preferred.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2EA6F74" w14:textId="07DEFC35" w:rsidR="00B6297C" w:rsidRPr="00B6297C" w:rsidRDefault="00286A0F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bookmarkStart w:id="1" w:name="_Hlk188433579"/>
      <w:r>
        <w:rPr>
          <w:rFonts w:cs="Arial"/>
        </w:rPr>
        <w:t>F</w:t>
      </w:r>
      <w:r w:rsidR="7DF7A49F" w:rsidRPr="063BC8D9">
        <w:rPr>
          <w:rFonts w:cs="Arial"/>
        </w:rPr>
        <w:t xml:space="preserve">ive (5) years of </w:t>
      </w:r>
      <w:r w:rsidR="3C503150" w:rsidRPr="063BC8D9">
        <w:rPr>
          <w:rFonts w:cs="Arial"/>
        </w:rPr>
        <w:t>experience in financial management, budgeting, or accounting.</w:t>
      </w:r>
    </w:p>
    <w:p w14:paraId="46C2743B" w14:textId="3493DFE5" w:rsidR="00B6297C" w:rsidRPr="00B6297C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Demonstrated experience managing complex financial operations, including budgeting, forecasting, accounting, and financial modelling within a multi-faceted organization. </w:t>
      </w:r>
    </w:p>
    <w:p w14:paraId="2CF1D307" w14:textId="684D13D1" w:rsidR="00B6297C" w:rsidRPr="00B6297C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>Leads processes and drives outcomes effectively with individuals above, across, and below in the organizational hierarchy.</w:t>
      </w:r>
      <w:r w:rsidR="7DF7A49F" w:rsidRPr="063BC8D9">
        <w:rPr>
          <w:rFonts w:cs="Arial"/>
        </w:rPr>
        <w:t xml:space="preserve"> </w:t>
      </w:r>
    </w:p>
    <w:p w14:paraId="543973FB" w14:textId="6CA79CF4" w:rsidR="00B6297C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Proven ability to provide strategic financial insight, contributing to long-term planning, resource allocation, and organizational decision-making. </w:t>
      </w:r>
    </w:p>
    <w:p w14:paraId="7AD76ABF" w14:textId="3D9D10D7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Track record of conducting advanced financial and data analysis, interpreting trends, and translating findings into actionable recommendations for diverse stakeholders. </w:t>
      </w:r>
    </w:p>
    <w:p w14:paraId="598EDAAE" w14:textId="11B71F4E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Experience collaborating across departments to </w:t>
      </w:r>
      <w:r w:rsidR="500F2539" w:rsidRPr="063BC8D9">
        <w:rPr>
          <w:rFonts w:cs="Arial"/>
        </w:rPr>
        <w:t>strengthen</w:t>
      </w:r>
      <w:r w:rsidRPr="063BC8D9">
        <w:rPr>
          <w:rFonts w:cs="Arial"/>
        </w:rPr>
        <w:t xml:space="preserve"> processes, </w:t>
      </w:r>
      <w:r w:rsidR="67D9075B" w:rsidRPr="063BC8D9">
        <w:rPr>
          <w:rFonts w:cs="Arial"/>
        </w:rPr>
        <w:t>improve</w:t>
      </w:r>
      <w:r w:rsidRPr="063BC8D9">
        <w:rPr>
          <w:rFonts w:cs="Arial"/>
        </w:rPr>
        <w:t xml:space="preserve"> efficiency, and support shared goals. </w:t>
      </w:r>
    </w:p>
    <w:p w14:paraId="0F0B1165" w14:textId="575C0835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>Supervisory or team-lead experience that reflects a commitment to coaching, mentoring, and developing employees in a supportive and inclusive environment.</w:t>
      </w:r>
    </w:p>
    <w:p w14:paraId="5D676728" w14:textId="7D8AD329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lastRenderedPageBreak/>
        <w:t xml:space="preserve">Demonstrated ability to communicate complex financial concepts clearly, in writing and verbally, to audiences of varying levels of financial literacy. </w:t>
      </w:r>
    </w:p>
    <w:p w14:paraId="5976AD44" w14:textId="7298CA2F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Experience navigating operational challenges with creativity and sound judgment, including the ability to balance competing priorities in a dynamic environment. </w:t>
      </w:r>
    </w:p>
    <w:p w14:paraId="3B7131EF" w14:textId="121094A3" w:rsidR="00437A50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Proven commitment to accuracy, compliance, and internal controls, especially in areas such as payroll coordination, financial reporting, and audit readiness. </w:t>
      </w:r>
    </w:p>
    <w:p w14:paraId="02FC1FE2" w14:textId="08AC12E1" w:rsidR="00437A50" w:rsidRPr="00B6297C" w:rsidRDefault="3C503150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spacing w:after="0"/>
        <w:rPr>
          <w:rFonts w:cs="Arial"/>
        </w:rPr>
      </w:pPr>
      <w:r w:rsidRPr="063BC8D9">
        <w:rPr>
          <w:rFonts w:cs="Arial"/>
        </w:rPr>
        <w:t xml:space="preserve">Evidence of ethical stewardship, including responsible management of financial resources, transparent decision-making, and alignment with institutional values. </w:t>
      </w:r>
    </w:p>
    <w:p w14:paraId="37C10275" w14:textId="01C947BD" w:rsidR="00B6297C" w:rsidRPr="00B6297C" w:rsidRDefault="7DF7A49F" w:rsidP="063BC8D9">
      <w:pPr>
        <w:numPr>
          <w:ilvl w:val="0"/>
          <w:numId w:val="29"/>
        </w:numPr>
        <w:tabs>
          <w:tab w:val="left" w:pos="720"/>
          <w:tab w:val="left" w:pos="810"/>
        </w:tabs>
        <w:spacing w:after="0"/>
        <w:rPr>
          <w:rFonts w:cs="Arial"/>
        </w:rPr>
      </w:pPr>
      <w:r w:rsidRPr="063BC8D9">
        <w:rPr>
          <w:rFonts w:cs="Arial"/>
        </w:rPr>
        <w:t>Demonstrated commitment to diversity, equity, inclusion, Indigeneity, and accessibility.</w:t>
      </w:r>
    </w:p>
    <w:p w14:paraId="37951198" w14:textId="5836439F" w:rsidR="00B6297C" w:rsidRPr="00B6297C" w:rsidRDefault="007576F8" w:rsidP="063BC8D9">
      <w:pPr>
        <w:numPr>
          <w:ilvl w:val="0"/>
          <w:numId w:val="29"/>
        </w:numPr>
        <w:tabs>
          <w:tab w:val="left" w:pos="720"/>
          <w:tab w:val="left" w:pos="810"/>
        </w:tabs>
        <w:spacing w:after="0"/>
        <w:rPr>
          <w:rFonts w:cs="Arial"/>
        </w:rPr>
      </w:pPr>
      <w:r>
        <w:rPr>
          <w:rFonts w:cs="Arial"/>
        </w:rPr>
        <w:t>Occasional evening and weekend work is required</w:t>
      </w:r>
      <w:r w:rsidR="7DF7A49F" w:rsidRPr="063BC8D9">
        <w:rPr>
          <w:rFonts w:cs="Arial"/>
        </w:rPr>
        <w:t>.</w:t>
      </w:r>
    </w:p>
    <w:p w14:paraId="6A766908" w14:textId="135E88C3" w:rsidR="003269FB" w:rsidRDefault="279C0D9D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63BC8D9">
        <w:rPr>
          <w:rFonts w:cs="Arial"/>
        </w:rPr>
        <w:t xml:space="preserve">A satisfactory </w:t>
      </w:r>
      <w:r w:rsidR="46351641" w:rsidRPr="063BC8D9">
        <w:rPr>
          <w:rFonts w:cs="Arial"/>
        </w:rPr>
        <w:t>Criminal Record</w:t>
      </w:r>
      <w:r w:rsidRPr="063BC8D9">
        <w:rPr>
          <w:rFonts w:cs="Arial"/>
        </w:rPr>
        <w:t xml:space="preserve"> Check, dated within the past six (6) months is required as a condition of employment</w:t>
      </w:r>
      <w:bookmarkEnd w:id="1"/>
      <w:r w:rsidR="7DF7A49F" w:rsidRPr="063BC8D9">
        <w:rPr>
          <w:rFonts w:cs="Arial"/>
        </w:rPr>
        <w:t>.</w:t>
      </w:r>
    </w:p>
    <w:p w14:paraId="3AC94E8B" w14:textId="6C31D8CE" w:rsidR="00437A50" w:rsidRDefault="3C503150" w:rsidP="00437A50">
      <w:pPr>
        <w:pStyle w:val="Heading4"/>
        <w:rPr>
          <w:rFonts w:ascii="Arial" w:hAnsi="Arial" w:cs="Arial"/>
        </w:rPr>
      </w:pPr>
      <w:r w:rsidRPr="063BC8D9">
        <w:rPr>
          <w:rFonts w:ascii="Arial" w:hAnsi="Arial" w:cs="Arial"/>
        </w:rPr>
        <w:t>Supervision:</w:t>
      </w:r>
    </w:p>
    <w:p w14:paraId="50915CAF" w14:textId="75677282" w:rsidR="00437A50" w:rsidRPr="00286A0F" w:rsidRDefault="007576F8" w:rsidP="063BC8D9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</w:rPr>
      </w:pPr>
      <w:r w:rsidRPr="00286A0F">
        <w:rPr>
          <w:rFonts w:cs="Arial"/>
        </w:rPr>
        <w:t>A minimum of 2 s</w:t>
      </w:r>
      <w:r w:rsidR="75975270" w:rsidRPr="00286A0F">
        <w:rPr>
          <w:rFonts w:cs="Arial"/>
        </w:rPr>
        <w:t>tudent employees</w:t>
      </w:r>
      <w:r w:rsidRPr="00286A0F">
        <w:rPr>
          <w:rFonts w:cs="Arial"/>
        </w:rPr>
        <w:t>.</w:t>
      </w:r>
    </w:p>
    <w:sectPr w:rsidR="00437A50" w:rsidRPr="00286A0F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679F" w14:textId="77777777" w:rsidR="00DA0C34" w:rsidRDefault="00DA0C34" w:rsidP="00937CA4">
      <w:pPr>
        <w:spacing w:after="0" w:line="240" w:lineRule="auto"/>
      </w:pPr>
      <w:r>
        <w:separator/>
      </w:r>
    </w:p>
  </w:endnote>
  <w:endnote w:type="continuationSeparator" w:id="0">
    <w:p w14:paraId="702D9777" w14:textId="77777777" w:rsidR="00DA0C34" w:rsidRDefault="00DA0C34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C8B79C0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A44761" w:rsidRPr="00A44761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X-489 | VIP: 2045 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86A0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8D49" w14:textId="77777777" w:rsidR="00DA0C34" w:rsidRDefault="00DA0C34" w:rsidP="00937CA4">
      <w:pPr>
        <w:spacing w:after="0" w:line="240" w:lineRule="auto"/>
      </w:pPr>
      <w:r>
        <w:separator/>
      </w:r>
    </w:p>
  </w:footnote>
  <w:footnote w:type="continuationSeparator" w:id="0">
    <w:p w14:paraId="6894221D" w14:textId="77777777" w:rsidR="00DA0C34" w:rsidRDefault="00DA0C34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41A1"/>
    <w:multiLevelType w:val="hybridMultilevel"/>
    <w:tmpl w:val="DE30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8"/>
  </w:num>
  <w:num w:numId="3" w16cid:durableId="1016268606">
    <w:abstractNumId w:val="15"/>
  </w:num>
  <w:num w:numId="4" w16cid:durableId="1858501020">
    <w:abstractNumId w:val="13"/>
  </w:num>
  <w:num w:numId="5" w16cid:durableId="1142041592">
    <w:abstractNumId w:val="14"/>
  </w:num>
  <w:num w:numId="6" w16cid:durableId="908883859">
    <w:abstractNumId w:val="10"/>
  </w:num>
  <w:num w:numId="7" w16cid:durableId="1342707894">
    <w:abstractNumId w:val="11"/>
  </w:num>
  <w:num w:numId="8" w16cid:durableId="1325619791">
    <w:abstractNumId w:val="20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24"/>
  </w:num>
  <w:num w:numId="12" w16cid:durableId="1062026136">
    <w:abstractNumId w:val="18"/>
  </w:num>
  <w:num w:numId="13" w16cid:durableId="961499177">
    <w:abstractNumId w:val="28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19"/>
  </w:num>
  <w:num w:numId="17" w16cid:durableId="200627671">
    <w:abstractNumId w:val="17"/>
  </w:num>
  <w:num w:numId="18" w16cid:durableId="1747721941">
    <w:abstractNumId w:val="23"/>
  </w:num>
  <w:num w:numId="19" w16cid:durableId="219639028">
    <w:abstractNumId w:val="2"/>
  </w:num>
  <w:num w:numId="20" w16cid:durableId="24722530">
    <w:abstractNumId w:val="25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7"/>
  </w:num>
  <w:num w:numId="24" w16cid:durableId="1596203280">
    <w:abstractNumId w:val="26"/>
  </w:num>
  <w:num w:numId="25" w16cid:durableId="1276979215">
    <w:abstractNumId w:val="9"/>
  </w:num>
  <w:num w:numId="26" w16cid:durableId="1453817592">
    <w:abstractNumId w:val="12"/>
  </w:num>
  <w:num w:numId="27" w16cid:durableId="1160345557">
    <w:abstractNumId w:val="21"/>
  </w:num>
  <w:num w:numId="28" w16cid:durableId="203716667">
    <w:abstractNumId w:val="29"/>
  </w:num>
  <w:num w:numId="29" w16cid:durableId="1600789881">
    <w:abstractNumId w:val="7"/>
  </w:num>
  <w:num w:numId="30" w16cid:durableId="576011781">
    <w:abstractNumId w:val="3"/>
  </w:num>
  <w:num w:numId="31" w16cid:durableId="4117711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479E5"/>
    <w:rsid w:val="00052B69"/>
    <w:rsid w:val="00061FAA"/>
    <w:rsid w:val="00096C78"/>
    <w:rsid w:val="000D32FE"/>
    <w:rsid w:val="000F5C8D"/>
    <w:rsid w:val="00104589"/>
    <w:rsid w:val="00110344"/>
    <w:rsid w:val="0014517E"/>
    <w:rsid w:val="00183F8C"/>
    <w:rsid w:val="00187810"/>
    <w:rsid w:val="00190B43"/>
    <w:rsid w:val="001E1BC6"/>
    <w:rsid w:val="001E6A32"/>
    <w:rsid w:val="0022446C"/>
    <w:rsid w:val="00242A13"/>
    <w:rsid w:val="002460E1"/>
    <w:rsid w:val="002615EA"/>
    <w:rsid w:val="00285071"/>
    <w:rsid w:val="00286A0F"/>
    <w:rsid w:val="00304028"/>
    <w:rsid w:val="003269FB"/>
    <w:rsid w:val="003A4214"/>
    <w:rsid w:val="003B48E3"/>
    <w:rsid w:val="003B7BA5"/>
    <w:rsid w:val="003C2F29"/>
    <w:rsid w:val="00437A50"/>
    <w:rsid w:val="00446E13"/>
    <w:rsid w:val="00485C71"/>
    <w:rsid w:val="0049727F"/>
    <w:rsid w:val="004A3B00"/>
    <w:rsid w:val="004D593E"/>
    <w:rsid w:val="004E235F"/>
    <w:rsid w:val="004E43E6"/>
    <w:rsid w:val="004E5747"/>
    <w:rsid w:val="004F1951"/>
    <w:rsid w:val="00516FED"/>
    <w:rsid w:val="005232FF"/>
    <w:rsid w:val="005277D9"/>
    <w:rsid w:val="00542B5E"/>
    <w:rsid w:val="00553DA3"/>
    <w:rsid w:val="00582DDD"/>
    <w:rsid w:val="005A56CB"/>
    <w:rsid w:val="005A72A2"/>
    <w:rsid w:val="005D63A8"/>
    <w:rsid w:val="00622A09"/>
    <w:rsid w:val="00625D1D"/>
    <w:rsid w:val="00631575"/>
    <w:rsid w:val="006320BB"/>
    <w:rsid w:val="00644EFB"/>
    <w:rsid w:val="006D25BA"/>
    <w:rsid w:val="006D5153"/>
    <w:rsid w:val="006F3014"/>
    <w:rsid w:val="00716FA8"/>
    <w:rsid w:val="00741DDC"/>
    <w:rsid w:val="007576F8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A133B8"/>
    <w:rsid w:val="00A44761"/>
    <w:rsid w:val="00A81A6B"/>
    <w:rsid w:val="00A86B66"/>
    <w:rsid w:val="00A96416"/>
    <w:rsid w:val="00AA03B3"/>
    <w:rsid w:val="00AA7E80"/>
    <w:rsid w:val="00AC0F1A"/>
    <w:rsid w:val="00AE314D"/>
    <w:rsid w:val="00B20DB5"/>
    <w:rsid w:val="00B52436"/>
    <w:rsid w:val="00B6297C"/>
    <w:rsid w:val="00B72998"/>
    <w:rsid w:val="00B7728D"/>
    <w:rsid w:val="00B81258"/>
    <w:rsid w:val="00BB3BF6"/>
    <w:rsid w:val="00BC3FF0"/>
    <w:rsid w:val="00C628B3"/>
    <w:rsid w:val="00C734ED"/>
    <w:rsid w:val="00C76595"/>
    <w:rsid w:val="00C76967"/>
    <w:rsid w:val="00C81169"/>
    <w:rsid w:val="00C8275E"/>
    <w:rsid w:val="00CA2A5E"/>
    <w:rsid w:val="00CA40CA"/>
    <w:rsid w:val="00CA75E3"/>
    <w:rsid w:val="00CC3798"/>
    <w:rsid w:val="00CE0B98"/>
    <w:rsid w:val="00CE67A1"/>
    <w:rsid w:val="00CE77DE"/>
    <w:rsid w:val="00D268F1"/>
    <w:rsid w:val="00D43D42"/>
    <w:rsid w:val="00DA0C34"/>
    <w:rsid w:val="00DD3A80"/>
    <w:rsid w:val="00DD61CF"/>
    <w:rsid w:val="00DF4C26"/>
    <w:rsid w:val="00E250BA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  <w:rsid w:val="063BC8D9"/>
    <w:rsid w:val="06EE71FF"/>
    <w:rsid w:val="07AFABDE"/>
    <w:rsid w:val="0BBA3E10"/>
    <w:rsid w:val="108DAD22"/>
    <w:rsid w:val="17DB032D"/>
    <w:rsid w:val="20564978"/>
    <w:rsid w:val="219F5CFE"/>
    <w:rsid w:val="264905AD"/>
    <w:rsid w:val="279C0D9D"/>
    <w:rsid w:val="2D250FC8"/>
    <w:rsid w:val="3C503150"/>
    <w:rsid w:val="3F7BD87A"/>
    <w:rsid w:val="46351641"/>
    <w:rsid w:val="467C128B"/>
    <w:rsid w:val="49B0C540"/>
    <w:rsid w:val="4AF01119"/>
    <w:rsid w:val="4F938DEA"/>
    <w:rsid w:val="500F2539"/>
    <w:rsid w:val="50DD536A"/>
    <w:rsid w:val="536DE585"/>
    <w:rsid w:val="5C26CC2B"/>
    <w:rsid w:val="651E631C"/>
    <w:rsid w:val="6549C281"/>
    <w:rsid w:val="67845D8C"/>
    <w:rsid w:val="67D9075B"/>
    <w:rsid w:val="70924463"/>
    <w:rsid w:val="75975270"/>
    <w:rsid w:val="76B719E3"/>
    <w:rsid w:val="76F696D4"/>
    <w:rsid w:val="7A6D70B5"/>
    <w:rsid w:val="7B3EA467"/>
    <w:rsid w:val="7BA7E8C2"/>
    <w:rsid w:val="7DF7A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4D593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285BB2-FFB1-4539-B392-6126875CB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7FF6B-51E8-4D20-A004-556ED4D638CC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customXml/itemProps4.xml><?xml version="1.0" encoding="utf-8"?>
<ds:datastoreItem xmlns:ds="http://schemas.openxmlformats.org/officeDocument/2006/customXml" ds:itemID="{9F90E0CB-33E8-44AA-A39E-39B4AA3ED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4361</Characters>
  <Application>Microsoft Office Word</Application>
  <DocSecurity>0</DocSecurity>
  <Lines>36</Lines>
  <Paragraphs>10</Paragraphs>
  <ScaleCrop>false</ScaleCrop>
  <Company>Trent University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2026-05-01T21:45:00Z</dcterms:created>
  <dcterms:modified xsi:type="dcterms:W3CDTF">2026-05-01T22:01:00Z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0x0101001B91395069C62C4587F79DA86643D0EB</vt:lpwstr>
  </property>
  <property fmtid="{D5CDD505-2E9C-101B-9397-08002B2CF9AE}" pid="3" name="MediaServiceImageTags">
    <vt:lpwstr/>
  </property>
</Properties>
</file>