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378040BC"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79573E">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themeShade="80"/>
          <w:sz w:val="26"/>
          <w:szCs w:val="26"/>
        </w:rPr>
      </w:pPr>
    </w:p>
    <w:p w14:paraId="6B77B501" w14:textId="042A51CA" w:rsidR="00C76967" w:rsidRDefault="007A73FD" w:rsidP="00AE314D">
      <w:pPr>
        <w:tabs>
          <w:tab w:val="left" w:pos="1980"/>
        </w:tabs>
        <w:ind w:left="2160" w:hanging="2160"/>
        <w:rPr>
          <w:rStyle w:val="Heading2Char"/>
          <w:b/>
          <w:bCs w:val="0"/>
          <w:color w:val="000000" w:themeColor="text1" w:themeShade="80"/>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32A4B3"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46411C5"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themeShade="80"/>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241D21">
        <w:rPr>
          <w:rFonts w:cs="Arial"/>
          <w:bCs/>
          <w:color w:val="000000" w:themeColor="text1"/>
          <w:sz w:val="26"/>
          <w:szCs w:val="26"/>
        </w:rPr>
        <w:t>Associate University Secretary, Governance, Policy &amp; Privacy</w:t>
      </w:r>
      <w:r w:rsidR="00304028">
        <w:rPr>
          <w:rFonts w:cs="Arial"/>
          <w:bCs/>
          <w:color w:val="000000" w:themeColor="text1"/>
          <w:sz w:val="26"/>
          <w:szCs w:val="26"/>
        </w:rPr>
        <w:t xml:space="preserve"> </w:t>
      </w:r>
    </w:p>
    <w:p w14:paraId="54B0CDFE" w14:textId="6F28FB26"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themeShade="80"/>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79573E">
        <w:rPr>
          <w:rFonts w:cs="Arial"/>
          <w:bCs/>
          <w:color w:val="000000" w:themeColor="text1"/>
          <w:sz w:val="26"/>
          <w:szCs w:val="26"/>
        </w:rPr>
        <w:t>X-323</w:t>
      </w:r>
      <w:r w:rsidR="00190B43">
        <w:rPr>
          <w:rFonts w:cs="Arial"/>
          <w:bCs/>
          <w:color w:val="000000" w:themeColor="text1"/>
          <w:sz w:val="26"/>
          <w:szCs w:val="26"/>
        </w:rPr>
        <w:t xml:space="preserve"> | VIP: </w:t>
      </w:r>
      <w:r w:rsidR="00D30F98">
        <w:rPr>
          <w:rFonts w:cs="Arial"/>
          <w:bCs/>
          <w:color w:val="000000" w:themeColor="text1"/>
          <w:sz w:val="26"/>
          <w:szCs w:val="26"/>
        </w:rPr>
        <w:t>1</w:t>
      </w:r>
      <w:r w:rsidR="0079573E">
        <w:rPr>
          <w:rFonts w:cs="Arial"/>
          <w:bCs/>
          <w:color w:val="000000" w:themeColor="text1"/>
          <w:sz w:val="26"/>
          <w:szCs w:val="26"/>
        </w:rPr>
        <w:t>030</w:t>
      </w:r>
      <w:r w:rsidRPr="00052B69">
        <w:rPr>
          <w:rFonts w:cs="Arial"/>
          <w:bCs/>
          <w:color w:val="000000" w:themeColor="text1"/>
          <w:sz w:val="26"/>
          <w:szCs w:val="26"/>
        </w:rPr>
        <w:tab/>
      </w:r>
    </w:p>
    <w:p w14:paraId="0564B67A" w14:textId="26DF516E" w:rsidR="00A133B8" w:rsidRPr="00401115" w:rsidRDefault="00A133B8" w:rsidP="00401115">
      <w:pPr>
        <w:tabs>
          <w:tab w:val="left" w:pos="1980"/>
        </w:tabs>
        <w:ind w:left="2160" w:hanging="2160"/>
        <w:rPr>
          <w:rFonts w:eastAsiaTheme="majorEastAsia" w:cs="Arial"/>
          <w:b/>
          <w:noProof/>
          <w:color w:val="000000" w:themeColor="text1" w:themeShade="80"/>
          <w:sz w:val="26"/>
          <w:szCs w:val="26"/>
        </w:rPr>
      </w:pPr>
      <w:r w:rsidRPr="00052B69">
        <w:rPr>
          <w:rStyle w:val="Heading2Char"/>
          <w:b/>
          <w:bCs w:val="0"/>
          <w:color w:val="000000" w:themeColor="text1" w:themeShade="80"/>
          <w:sz w:val="26"/>
          <w:szCs w:val="26"/>
        </w:rPr>
        <w:t>Band:</w:t>
      </w:r>
      <w:r w:rsidRPr="00052B69">
        <w:rPr>
          <w:rStyle w:val="Heading2Char"/>
          <w:b/>
          <w:bCs w:val="0"/>
          <w:color w:val="000000" w:themeColor="text1" w:themeShade="80"/>
          <w:sz w:val="26"/>
          <w:szCs w:val="26"/>
        </w:rPr>
        <w:tab/>
      </w:r>
      <w:r w:rsidR="004E43E6">
        <w:rPr>
          <w:rStyle w:val="Heading2Char"/>
          <w:b/>
          <w:bCs w:val="0"/>
          <w:color w:val="000000" w:themeColor="text1" w:themeShade="80"/>
          <w:sz w:val="26"/>
          <w:szCs w:val="26"/>
        </w:rPr>
        <w:tab/>
      </w:r>
      <w:r w:rsidR="004E43E6">
        <w:rPr>
          <w:rStyle w:val="Heading2Char"/>
          <w:b/>
          <w:bCs w:val="0"/>
          <w:color w:val="000000" w:themeColor="text1" w:themeShade="80"/>
          <w:sz w:val="26"/>
          <w:szCs w:val="26"/>
        </w:rPr>
        <w:tab/>
      </w:r>
      <w:r w:rsidR="0079573E">
        <w:rPr>
          <w:rStyle w:val="Heading2Char"/>
          <w:color w:val="000000" w:themeColor="text1" w:themeShade="80"/>
          <w:sz w:val="26"/>
          <w:szCs w:val="26"/>
        </w:rPr>
        <w:t>EXEMPT-</w:t>
      </w:r>
      <w:r w:rsidR="00740A2D">
        <w:rPr>
          <w:rStyle w:val="Heading2Char"/>
          <w:color w:val="000000" w:themeColor="text1" w:themeShade="80"/>
          <w:sz w:val="26"/>
          <w:szCs w:val="26"/>
        </w:rPr>
        <w:t>7</w:t>
      </w:r>
      <w:r w:rsidR="006F3014">
        <w:rPr>
          <w:rStyle w:val="Heading2Char"/>
          <w:b/>
          <w:bCs w:val="0"/>
          <w:color w:val="000000" w:themeColor="text1" w:themeShade="80"/>
          <w:sz w:val="26"/>
          <w:szCs w:val="26"/>
        </w:rPr>
        <w:tab/>
      </w:r>
      <w:r w:rsidR="006F3014">
        <w:rPr>
          <w:rFonts w:asciiTheme="minorHAnsi" w:hAnsiTheme="minorHAnsi" w:cstheme="minorHAnsi"/>
        </w:rPr>
        <w:tab/>
      </w:r>
      <w:r w:rsidRPr="00052B69">
        <w:rPr>
          <w:rFonts w:cs="Arial"/>
          <w:bCs/>
          <w:color w:val="000000" w:themeColor="text1"/>
          <w:sz w:val="26"/>
          <w:szCs w:val="26"/>
        </w:rPr>
        <w:tab/>
      </w:r>
    </w:p>
    <w:p w14:paraId="03B91C93" w14:textId="29945B18"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themeShade="80"/>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79573E">
        <w:rPr>
          <w:rFonts w:cs="Arial"/>
          <w:bCs/>
          <w:color w:val="000000" w:themeColor="text1"/>
          <w:sz w:val="26"/>
          <w:szCs w:val="26"/>
        </w:rPr>
        <w:t>University Secretariat</w:t>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5CD460C0" w:rsidR="008F7F83" w:rsidRDefault="00A133B8" w:rsidP="00FF6B5F">
      <w:pPr>
        <w:tabs>
          <w:tab w:val="left" w:pos="1980"/>
        </w:tabs>
        <w:ind w:left="2880" w:hanging="2880"/>
        <w:rPr>
          <w:rStyle w:val="Heading2Char"/>
          <w:b/>
          <w:bCs w:val="0"/>
          <w:color w:val="000000" w:themeColor="text1" w:themeShade="80"/>
          <w:sz w:val="26"/>
          <w:szCs w:val="26"/>
        </w:rPr>
      </w:pPr>
      <w:r w:rsidRPr="00052B69">
        <w:rPr>
          <w:rStyle w:val="Heading2Char"/>
          <w:b/>
          <w:bCs w:val="0"/>
          <w:color w:val="000000" w:themeColor="text1" w:themeShade="80"/>
          <w:sz w:val="26"/>
          <w:szCs w:val="26"/>
        </w:rPr>
        <w:t>Supervisor Title:</w:t>
      </w:r>
      <w:r w:rsidRPr="00052B69">
        <w:rPr>
          <w:rStyle w:val="Heading2Char"/>
          <w:b/>
          <w:color w:val="000000" w:themeColor="text1" w:themeShade="80"/>
          <w:sz w:val="26"/>
          <w:szCs w:val="26"/>
        </w:rPr>
        <w:t xml:space="preserve"> </w:t>
      </w:r>
      <w:r w:rsidRPr="00052B69">
        <w:rPr>
          <w:rStyle w:val="Heading2Char"/>
          <w:b/>
          <w:color w:val="000000" w:themeColor="text1" w:themeShade="80"/>
          <w:sz w:val="26"/>
          <w:szCs w:val="26"/>
        </w:rPr>
        <w:tab/>
      </w:r>
      <w:r w:rsidR="0079573E">
        <w:rPr>
          <w:rStyle w:val="Heading2Char"/>
          <w:bCs w:val="0"/>
          <w:color w:val="000000" w:themeColor="text1" w:themeShade="80"/>
          <w:sz w:val="26"/>
          <w:szCs w:val="26"/>
        </w:rPr>
        <w:t>University Secretary</w:t>
      </w:r>
    </w:p>
    <w:p w14:paraId="6321F5BD" w14:textId="4EDE06C6"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themeShade="80"/>
          <w:sz w:val="26"/>
          <w:szCs w:val="26"/>
        </w:rPr>
        <w:t>Last Reviewed:</w:t>
      </w:r>
      <w:r w:rsidRPr="00052B69">
        <w:rPr>
          <w:rStyle w:val="Heading2Char"/>
          <w:b/>
          <w:bCs w:val="0"/>
          <w:color w:val="000000" w:themeColor="text1" w:themeShade="80"/>
          <w:sz w:val="26"/>
          <w:szCs w:val="26"/>
        </w:rPr>
        <w:tab/>
      </w:r>
      <w:r w:rsidRPr="00052B69">
        <w:rPr>
          <w:rFonts w:cs="Arial"/>
          <w:sz w:val="26"/>
          <w:szCs w:val="26"/>
        </w:rPr>
        <w:tab/>
      </w:r>
      <w:r w:rsidR="00B52436" w:rsidRPr="00052B69">
        <w:rPr>
          <w:rFonts w:cs="Arial"/>
          <w:sz w:val="26"/>
          <w:szCs w:val="26"/>
        </w:rPr>
        <w:tab/>
      </w:r>
      <w:r w:rsidR="007E2337">
        <w:rPr>
          <w:rFonts w:cs="Arial"/>
          <w:sz w:val="26"/>
          <w:szCs w:val="26"/>
        </w:rPr>
        <w:t>April 16, 2026</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2CF3FC"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5B0A4E94" w14:textId="0374756B" w:rsidR="0079573E" w:rsidRPr="0079573E" w:rsidRDefault="00A16B72" w:rsidP="0079573E">
      <w:pPr>
        <w:tabs>
          <w:tab w:val="left" w:pos="540"/>
        </w:tabs>
        <w:rPr>
          <w:rFonts w:cs="Arial"/>
        </w:rPr>
      </w:pPr>
      <w:r>
        <w:rPr>
          <w:rFonts w:cs="Arial"/>
        </w:rPr>
        <w:t xml:space="preserve">The Associate University Secretary </w:t>
      </w:r>
      <w:r w:rsidRPr="00A16B72">
        <w:rPr>
          <w:rFonts w:cs="Arial"/>
        </w:rPr>
        <w:t xml:space="preserve">provides day-to-day </w:t>
      </w:r>
      <w:r w:rsidR="00803C26">
        <w:rPr>
          <w:rFonts w:cs="Arial"/>
        </w:rPr>
        <w:t>management</w:t>
      </w:r>
      <w:r w:rsidR="00803C26" w:rsidRPr="00A16B72">
        <w:rPr>
          <w:rFonts w:cs="Arial"/>
        </w:rPr>
        <w:t xml:space="preserve"> </w:t>
      </w:r>
      <w:r w:rsidRPr="00A16B72">
        <w:rPr>
          <w:rFonts w:cs="Arial"/>
        </w:rPr>
        <w:t xml:space="preserve">of the Secretariat </w:t>
      </w:r>
      <w:r w:rsidR="00803C26">
        <w:rPr>
          <w:rFonts w:cs="Arial"/>
        </w:rPr>
        <w:t xml:space="preserve">office </w:t>
      </w:r>
      <w:r w:rsidR="007E2337" w:rsidRPr="00A16B72">
        <w:rPr>
          <w:rFonts w:cs="Arial"/>
        </w:rPr>
        <w:t>operations and</w:t>
      </w:r>
      <w:r w:rsidR="00803C26" w:rsidRPr="00803C26">
        <w:rPr>
          <w:rFonts w:cs="Arial"/>
        </w:rPr>
        <w:t xml:space="preserve"> provides governance and administrative support to the Board of Governors, Senate, and their committees</w:t>
      </w:r>
      <w:r>
        <w:rPr>
          <w:rFonts w:cs="Arial"/>
        </w:rPr>
        <w:t>.</w:t>
      </w:r>
      <w:r w:rsidR="0079573E" w:rsidRPr="0079573E">
        <w:rPr>
          <w:rFonts w:cs="Arial"/>
        </w:rPr>
        <w:t xml:space="preserve"> </w:t>
      </w:r>
      <w:r>
        <w:rPr>
          <w:rFonts w:cs="Arial"/>
        </w:rPr>
        <w:t>The</w:t>
      </w:r>
      <w:r w:rsidR="00803C26">
        <w:rPr>
          <w:rFonts w:cs="Arial"/>
        </w:rPr>
        <w:t>y</w:t>
      </w:r>
      <w:r>
        <w:rPr>
          <w:rFonts w:cs="Arial"/>
        </w:rPr>
        <w:t xml:space="preserve"> </w:t>
      </w:r>
      <w:r w:rsidR="00803C26">
        <w:rPr>
          <w:rFonts w:cs="Arial"/>
        </w:rPr>
        <w:t>facilitate</w:t>
      </w:r>
      <w:r>
        <w:rPr>
          <w:rFonts w:cs="Arial"/>
        </w:rPr>
        <w:t xml:space="preserve"> effective </w:t>
      </w:r>
      <w:r w:rsidR="00803C26">
        <w:rPr>
          <w:rFonts w:cs="Arial"/>
        </w:rPr>
        <w:t xml:space="preserve">university </w:t>
      </w:r>
      <w:r>
        <w:rPr>
          <w:rFonts w:cs="Arial"/>
        </w:rPr>
        <w:t>governance at the university</w:t>
      </w:r>
      <w:r w:rsidR="00803C26">
        <w:rPr>
          <w:rFonts w:cs="Arial"/>
        </w:rPr>
        <w:t xml:space="preserve"> by supporting </w:t>
      </w:r>
      <w:r>
        <w:rPr>
          <w:rFonts w:cs="Arial"/>
        </w:rPr>
        <w:t xml:space="preserve">the University </w:t>
      </w:r>
      <w:r w:rsidR="007E2337">
        <w:rPr>
          <w:rFonts w:cs="Arial"/>
        </w:rPr>
        <w:t xml:space="preserve">Secretary, </w:t>
      </w:r>
      <w:r w:rsidR="007E2337" w:rsidRPr="00803C26">
        <w:t>coordinating</w:t>
      </w:r>
      <w:r w:rsidR="00803C26" w:rsidRPr="00803C26">
        <w:rPr>
          <w:rFonts w:cs="Arial"/>
        </w:rPr>
        <w:t xml:space="preserve"> reports to governing bodies</w:t>
      </w:r>
      <w:r w:rsidR="003E7699">
        <w:rPr>
          <w:rFonts w:cs="Arial"/>
        </w:rPr>
        <w:t xml:space="preserve"> and </w:t>
      </w:r>
      <w:r w:rsidR="003E7699" w:rsidRPr="0079573E">
        <w:rPr>
          <w:rFonts w:cs="Arial"/>
        </w:rPr>
        <w:t>policy review</w:t>
      </w:r>
      <w:r w:rsidR="003E7699">
        <w:rPr>
          <w:rFonts w:cs="Arial"/>
        </w:rPr>
        <w:t xml:space="preserve"> processes</w:t>
      </w:r>
      <w:r w:rsidR="00803C26" w:rsidRPr="00803C26">
        <w:rPr>
          <w:rFonts w:cs="Arial"/>
        </w:rPr>
        <w:t>, and managing select projects or events.</w:t>
      </w:r>
      <w:r w:rsidR="00803C26">
        <w:rPr>
          <w:rFonts w:cs="Arial"/>
        </w:rPr>
        <w:t xml:space="preserve"> They also s</w:t>
      </w:r>
      <w:r w:rsidR="0079573E" w:rsidRPr="0079573E">
        <w:rPr>
          <w:rFonts w:cs="Arial"/>
        </w:rPr>
        <w:t xml:space="preserve">upervise the </w:t>
      </w:r>
      <w:r w:rsidR="00241D21">
        <w:rPr>
          <w:rFonts w:cs="Arial"/>
        </w:rPr>
        <w:t>Governance Officer</w:t>
      </w:r>
      <w:r w:rsidR="00FE6519">
        <w:rPr>
          <w:rFonts w:cs="Arial"/>
        </w:rPr>
        <w:t xml:space="preserve"> and </w:t>
      </w:r>
      <w:r w:rsidR="00803C26">
        <w:rPr>
          <w:rFonts w:cs="Arial"/>
        </w:rPr>
        <w:t>offer</w:t>
      </w:r>
      <w:r w:rsidR="00FE6519" w:rsidRPr="00FE6519">
        <w:rPr>
          <w:rFonts w:cs="Arial"/>
          <w:lang w:val="en-CA"/>
        </w:rPr>
        <w:t xml:space="preserve"> functional advic</w:t>
      </w:r>
      <w:r w:rsidR="00803C26">
        <w:rPr>
          <w:rFonts w:cs="Arial"/>
          <w:lang w:val="en-CA"/>
        </w:rPr>
        <w:t xml:space="preserve">e </w:t>
      </w:r>
      <w:r w:rsidR="00FE6519" w:rsidRPr="00FE6519">
        <w:rPr>
          <w:rFonts w:cs="Arial"/>
          <w:lang w:val="en-CA"/>
        </w:rPr>
        <w:t xml:space="preserve">to Board </w:t>
      </w:r>
      <w:r w:rsidR="00803C26">
        <w:rPr>
          <w:rFonts w:cs="Arial"/>
          <w:lang w:val="en-CA"/>
        </w:rPr>
        <w:t xml:space="preserve">Chairs </w:t>
      </w:r>
      <w:r w:rsidR="00FE6519" w:rsidRPr="00FE6519">
        <w:rPr>
          <w:rFonts w:cs="Arial"/>
          <w:lang w:val="en-CA"/>
        </w:rPr>
        <w:t>and Committees, senior administrat</w:t>
      </w:r>
      <w:r w:rsidR="00803C26">
        <w:rPr>
          <w:rFonts w:cs="Arial"/>
          <w:lang w:val="en-CA"/>
        </w:rPr>
        <w:t>ors</w:t>
      </w:r>
      <w:r w:rsidR="00FE6519" w:rsidRPr="00FE6519">
        <w:rPr>
          <w:rFonts w:cs="Arial"/>
          <w:lang w:val="en-CA"/>
        </w:rPr>
        <w:t xml:space="preserve">, </w:t>
      </w:r>
      <w:r w:rsidR="00803C26">
        <w:rPr>
          <w:rFonts w:cs="Arial"/>
          <w:lang w:val="en-CA"/>
        </w:rPr>
        <w:t xml:space="preserve">and </w:t>
      </w:r>
      <w:r w:rsidR="005D227F">
        <w:rPr>
          <w:rFonts w:cs="Arial"/>
          <w:lang w:val="en-CA"/>
        </w:rPr>
        <w:t>secretariat staff</w:t>
      </w:r>
      <w:r w:rsidR="00FE6519" w:rsidRPr="00FE6519">
        <w:rPr>
          <w:rFonts w:cs="Arial"/>
          <w:lang w:val="en-CA"/>
        </w:rPr>
        <w:t>.</w:t>
      </w:r>
      <w:r w:rsidR="0079573E" w:rsidRPr="0079573E">
        <w:rPr>
          <w:rFonts w:cs="Arial"/>
        </w:rPr>
        <w:t xml:space="preserve">  </w:t>
      </w:r>
    </w:p>
    <w:p w14:paraId="7D745FD4" w14:textId="52D561EA" w:rsidR="001A0C4B" w:rsidRDefault="003E7699" w:rsidP="0079573E">
      <w:pPr>
        <w:tabs>
          <w:tab w:val="left" w:pos="540"/>
        </w:tabs>
        <w:rPr>
          <w:rFonts w:cs="Arial"/>
        </w:rPr>
      </w:pPr>
      <w:r>
        <w:rPr>
          <w:rFonts w:cs="Arial"/>
        </w:rPr>
        <w:t xml:space="preserve">The </w:t>
      </w:r>
      <w:r w:rsidRPr="00803C26">
        <w:rPr>
          <w:rFonts w:cs="Arial"/>
        </w:rPr>
        <w:t>Associate University Secretary</w:t>
      </w:r>
      <w:r>
        <w:rPr>
          <w:rFonts w:cs="Arial"/>
        </w:rPr>
        <w:t xml:space="preserve"> s</w:t>
      </w:r>
      <w:r w:rsidR="0079573E" w:rsidRPr="0079573E">
        <w:rPr>
          <w:rFonts w:cs="Arial"/>
        </w:rPr>
        <w:t xml:space="preserve">erves as the University’s Access/Privacy Officer, </w:t>
      </w:r>
      <w:r>
        <w:rPr>
          <w:rFonts w:cs="Arial"/>
        </w:rPr>
        <w:t xml:space="preserve">advising </w:t>
      </w:r>
      <w:r w:rsidR="00A16B72" w:rsidRPr="00A16B72">
        <w:rPr>
          <w:rFonts w:cs="Arial"/>
        </w:rPr>
        <w:t>university stakeholders on privacy compliance</w:t>
      </w:r>
      <w:r w:rsidR="00F26369">
        <w:rPr>
          <w:rFonts w:cs="Arial"/>
        </w:rPr>
        <w:t xml:space="preserve">, </w:t>
      </w:r>
      <w:r w:rsidR="00F26369" w:rsidRPr="0079573E">
        <w:rPr>
          <w:rFonts w:cs="Arial"/>
        </w:rPr>
        <w:t>manag</w:t>
      </w:r>
      <w:r>
        <w:rPr>
          <w:rFonts w:cs="Arial"/>
        </w:rPr>
        <w:t xml:space="preserve">ing </w:t>
      </w:r>
      <w:r w:rsidR="0079573E" w:rsidRPr="0079573E">
        <w:rPr>
          <w:rFonts w:cs="Arial"/>
        </w:rPr>
        <w:t xml:space="preserve">freedom of information requests, </w:t>
      </w:r>
      <w:r>
        <w:rPr>
          <w:rFonts w:cs="Arial"/>
        </w:rPr>
        <w:t xml:space="preserve">and </w:t>
      </w:r>
      <w:r w:rsidR="0079573E" w:rsidRPr="0079573E">
        <w:rPr>
          <w:rFonts w:cs="Arial"/>
        </w:rPr>
        <w:t>collaborat</w:t>
      </w:r>
      <w:r>
        <w:rPr>
          <w:rFonts w:cs="Arial"/>
        </w:rPr>
        <w:t>ing</w:t>
      </w:r>
      <w:r w:rsidR="0079573E" w:rsidRPr="0079573E">
        <w:rPr>
          <w:rFonts w:cs="Arial"/>
        </w:rPr>
        <w:t xml:space="preserve"> </w:t>
      </w:r>
      <w:r>
        <w:rPr>
          <w:rFonts w:cs="Arial"/>
        </w:rPr>
        <w:t xml:space="preserve">with senior administration </w:t>
      </w:r>
      <w:r w:rsidR="0079573E" w:rsidRPr="0079573E">
        <w:rPr>
          <w:rFonts w:cs="Arial"/>
        </w:rPr>
        <w:t>on institutional privacy policies</w:t>
      </w:r>
      <w:r>
        <w:rPr>
          <w:rFonts w:cs="Arial"/>
        </w:rPr>
        <w:t xml:space="preserve">. </w:t>
      </w:r>
      <w:r w:rsidRPr="003E7699">
        <w:rPr>
          <w:rFonts w:cs="Arial"/>
        </w:rPr>
        <w:t>They provide guidance on legislative compliance, best practices, privacy risk assessment, breach management, and policy interpretation while coordinating institutional compliance with current and emerging privacy legislation through the development of policies, procedures, and programs by committees and task forces.</w:t>
      </w:r>
      <w:r>
        <w:rPr>
          <w:rFonts w:cs="Arial"/>
        </w:rPr>
        <w:t xml:space="preserve"> </w:t>
      </w:r>
    </w:p>
    <w:p w14:paraId="33B3A472" w14:textId="785FEF1F" w:rsidR="00F815C2" w:rsidRDefault="00F815C2" w:rsidP="00F815C2">
      <w:r w:rsidRPr="00E35F7D">
        <w:t xml:space="preserve">The Associate University Secretary also manages the work of </w:t>
      </w:r>
      <w:r>
        <w:t>two</w:t>
      </w:r>
      <w:r w:rsidRPr="00E35F7D">
        <w:t xml:space="preserve"> key Senate committees including, </w:t>
      </w:r>
      <w:r>
        <w:t>the University Honours Subcommittee and Special Appeals Committee,</w:t>
      </w:r>
      <w:r w:rsidRPr="00E35F7D">
        <w:t xml:space="preserve"> the final-level academic appeal process.    </w:t>
      </w:r>
    </w:p>
    <w:p w14:paraId="3BE1794F" w14:textId="5C402A0A" w:rsidR="00AE314D" w:rsidRDefault="00A133B8" w:rsidP="004E235F">
      <w:pPr>
        <w:pStyle w:val="Heading4"/>
        <w:rPr>
          <w:rFonts w:ascii="Arial" w:hAnsi="Arial" w:cs="Arial"/>
        </w:rPr>
      </w:pPr>
      <w:r w:rsidRPr="003B48E3">
        <w:rPr>
          <w:rFonts w:ascii="Arial" w:hAnsi="Arial" w:cs="Arial"/>
        </w:rPr>
        <w:lastRenderedPageBreak/>
        <w:t>Key Activities:</w:t>
      </w:r>
    </w:p>
    <w:p w14:paraId="27812BA4" w14:textId="1E3A72BB" w:rsidR="00A00264" w:rsidRPr="007E2337" w:rsidRDefault="0079573E" w:rsidP="007E2337">
      <w:pPr>
        <w:pStyle w:val="Heading5"/>
      </w:pPr>
      <w:r w:rsidRPr="007E2337">
        <w:t>Governance</w:t>
      </w:r>
      <w:r w:rsidR="00A00264" w:rsidRPr="007E2337">
        <w:t>:</w:t>
      </w:r>
    </w:p>
    <w:p w14:paraId="6D7374CE" w14:textId="417A9D33" w:rsidR="0079573E" w:rsidRPr="007E2337" w:rsidRDefault="0079573E" w:rsidP="007E2337">
      <w:pPr>
        <w:pStyle w:val="ListParagraph"/>
        <w:numPr>
          <w:ilvl w:val="0"/>
          <w:numId w:val="7"/>
        </w:numPr>
        <w:ind w:left="360"/>
      </w:pPr>
      <w:r w:rsidRPr="007E2337">
        <w:t xml:space="preserve">Provides governance support services for the Board of Governors, Senate, </w:t>
      </w:r>
      <w:r w:rsidR="00A61025" w:rsidRPr="007E2337">
        <w:t xml:space="preserve">and </w:t>
      </w:r>
      <w:r w:rsidRPr="007E2337">
        <w:t xml:space="preserve">Board and Senate committees. </w:t>
      </w:r>
    </w:p>
    <w:p w14:paraId="0154F914" w14:textId="6E09D98F" w:rsidR="0079573E" w:rsidRPr="007E2337" w:rsidRDefault="0079573E" w:rsidP="007E2337">
      <w:pPr>
        <w:pStyle w:val="ListParagraph"/>
        <w:numPr>
          <w:ilvl w:val="0"/>
          <w:numId w:val="7"/>
        </w:numPr>
        <w:ind w:left="360"/>
      </w:pPr>
      <w:r w:rsidRPr="007E2337">
        <w:t>Coordinates and provides full administrative support for assigned Committees or task forces, including development of annual work plans, meeting agendas, itineraries, reports, draft policies, or policy revisions, briefing notes, etc.</w:t>
      </w:r>
    </w:p>
    <w:p w14:paraId="33E419A8" w14:textId="3830326C" w:rsidR="0079573E" w:rsidRPr="007E2337" w:rsidRDefault="0079573E" w:rsidP="007E2337">
      <w:pPr>
        <w:pStyle w:val="ListParagraph"/>
        <w:numPr>
          <w:ilvl w:val="0"/>
          <w:numId w:val="7"/>
        </w:numPr>
        <w:ind w:left="360"/>
      </w:pPr>
      <w:r w:rsidRPr="007E2337">
        <w:t xml:space="preserve">Liaises with senior administration and staff to ensure committees receive the </w:t>
      </w:r>
      <w:r w:rsidR="00493B25" w:rsidRPr="007E2337">
        <w:t xml:space="preserve">necessary </w:t>
      </w:r>
      <w:r w:rsidRPr="007E2337">
        <w:t xml:space="preserve">documentation needed </w:t>
      </w:r>
      <w:r w:rsidR="00493B25" w:rsidRPr="007E2337">
        <w:t xml:space="preserve">for decision-making, </w:t>
      </w:r>
      <w:r w:rsidRPr="007E2337">
        <w:t xml:space="preserve">action items are followed-up </w:t>
      </w:r>
      <w:r w:rsidR="00493B25" w:rsidRPr="007E2337">
        <w:t>on and</w:t>
      </w:r>
      <w:r w:rsidRPr="007E2337">
        <w:t xml:space="preserve"> approval processes are followed.</w:t>
      </w:r>
    </w:p>
    <w:p w14:paraId="3A3B8038" w14:textId="0078F27E" w:rsidR="009073EE" w:rsidRPr="007E2337" w:rsidRDefault="009073EE" w:rsidP="007E2337">
      <w:pPr>
        <w:pStyle w:val="ListParagraph"/>
        <w:numPr>
          <w:ilvl w:val="0"/>
          <w:numId w:val="7"/>
        </w:numPr>
        <w:ind w:left="360"/>
      </w:pPr>
      <w:r w:rsidRPr="007E2337">
        <w:t>Provide</w:t>
      </w:r>
      <w:r w:rsidR="00086797" w:rsidRPr="007E2337">
        <w:t>s</w:t>
      </w:r>
      <w:r w:rsidRPr="007E2337">
        <w:t xml:space="preserve"> logistical and organizational support for Board membership and appointment, Recruitment, and elections processes</w:t>
      </w:r>
      <w:r w:rsidR="00086797" w:rsidRPr="007E2337">
        <w:t>.</w:t>
      </w:r>
    </w:p>
    <w:p w14:paraId="388361AC" w14:textId="5D75CA1C" w:rsidR="00493B25" w:rsidRPr="007E2337" w:rsidRDefault="00F26369" w:rsidP="007E2337">
      <w:pPr>
        <w:pStyle w:val="ListParagraph"/>
        <w:numPr>
          <w:ilvl w:val="0"/>
          <w:numId w:val="7"/>
        </w:numPr>
        <w:ind w:left="360"/>
      </w:pPr>
      <w:r w:rsidRPr="007E2337">
        <w:t>Conduct</w:t>
      </w:r>
      <w:r w:rsidR="00086797" w:rsidRPr="007E2337">
        <w:t>s</w:t>
      </w:r>
      <w:r w:rsidRPr="007E2337">
        <w:t xml:space="preserve"> research, and provide analysis and guidance on governance issues to support effective decision-making</w:t>
      </w:r>
      <w:r w:rsidR="00086797" w:rsidRPr="007E2337">
        <w:t>.</w:t>
      </w:r>
    </w:p>
    <w:p w14:paraId="29CFD6C5" w14:textId="1349AF1E" w:rsidR="001A1B5F" w:rsidRPr="007E2337" w:rsidRDefault="001A1B5F" w:rsidP="007E2337">
      <w:pPr>
        <w:pStyle w:val="ListParagraph"/>
        <w:numPr>
          <w:ilvl w:val="0"/>
          <w:numId w:val="7"/>
        </w:numPr>
        <w:ind w:left="360"/>
      </w:pPr>
      <w:r w:rsidRPr="007E2337">
        <w:t>Reviews Board policies</w:t>
      </w:r>
      <w:r w:rsidR="00F26369" w:rsidRPr="007E2337">
        <w:t>/resolutions</w:t>
      </w:r>
      <w:r w:rsidRPr="007E2337">
        <w:t>, recommend</w:t>
      </w:r>
      <w:r w:rsidR="00086797" w:rsidRPr="007E2337">
        <w:t xml:space="preserve">s </w:t>
      </w:r>
      <w:r w:rsidRPr="007E2337">
        <w:t>changes to the University Secretary for consideration by Board Committees.</w:t>
      </w:r>
    </w:p>
    <w:p w14:paraId="665B4F1C" w14:textId="12322C07" w:rsidR="0079573E" w:rsidRPr="007E2337" w:rsidRDefault="0079573E" w:rsidP="007E2337">
      <w:pPr>
        <w:pStyle w:val="ListParagraph"/>
        <w:numPr>
          <w:ilvl w:val="0"/>
          <w:numId w:val="7"/>
        </w:numPr>
        <w:ind w:left="360"/>
      </w:pPr>
      <w:r w:rsidRPr="007E2337">
        <w:t>Assists Committee chairs before, during and following meetings in matters of governance process and precedent, approval processes, and content of reports to the Board.</w:t>
      </w:r>
    </w:p>
    <w:p w14:paraId="44D393D3" w14:textId="489CFED1" w:rsidR="00493B25" w:rsidRPr="007E2337" w:rsidRDefault="009073EE" w:rsidP="007E2337">
      <w:pPr>
        <w:pStyle w:val="ListParagraph"/>
        <w:numPr>
          <w:ilvl w:val="0"/>
          <w:numId w:val="7"/>
        </w:numPr>
        <w:ind w:left="360"/>
      </w:pPr>
      <w:r w:rsidRPr="007E2337">
        <w:t>Maintain</w:t>
      </w:r>
      <w:r w:rsidR="00086797" w:rsidRPr="007E2337">
        <w:t>s</w:t>
      </w:r>
      <w:r w:rsidRPr="007E2337">
        <w:t xml:space="preserve"> accurate and up-to-date records of the university's governance processes, including minutes, reports, and other relevant documents</w:t>
      </w:r>
      <w:r w:rsidR="00086797" w:rsidRPr="007E2337">
        <w:t>.</w:t>
      </w:r>
    </w:p>
    <w:p w14:paraId="3171F799" w14:textId="1C5B54B9" w:rsidR="0079573E" w:rsidRPr="007E2337" w:rsidRDefault="0079573E" w:rsidP="007E2337">
      <w:pPr>
        <w:pStyle w:val="ListParagraph"/>
        <w:numPr>
          <w:ilvl w:val="0"/>
          <w:numId w:val="7"/>
        </w:numPr>
        <w:ind w:left="360"/>
      </w:pPr>
      <w:r w:rsidRPr="007E2337">
        <w:t>Provides support, resources, and orientation to ensure smooth transition of committee leadership.</w:t>
      </w:r>
    </w:p>
    <w:p w14:paraId="0C92E5B5" w14:textId="49E8713D" w:rsidR="00F26369" w:rsidRPr="007E2337" w:rsidRDefault="00F26369" w:rsidP="007E2337">
      <w:pPr>
        <w:pStyle w:val="ListParagraph"/>
        <w:numPr>
          <w:ilvl w:val="0"/>
          <w:numId w:val="7"/>
        </w:numPr>
        <w:ind w:left="360"/>
      </w:pPr>
      <w:r w:rsidRPr="007E2337">
        <w:t>Review</w:t>
      </w:r>
      <w:r w:rsidR="00086797" w:rsidRPr="007E2337">
        <w:t>s</w:t>
      </w:r>
      <w:r w:rsidRPr="007E2337">
        <w:t xml:space="preserve"> and edit</w:t>
      </w:r>
      <w:r w:rsidR="00086797" w:rsidRPr="007E2337">
        <w:t>s</w:t>
      </w:r>
      <w:r w:rsidRPr="007E2337">
        <w:t xml:space="preserve"> reports prepared by others, ensuring that the Board Secretariat’s standards of accuracy, completeness, and overall quality are satisfied</w:t>
      </w:r>
      <w:r w:rsidR="00086797" w:rsidRPr="007E2337">
        <w:t>.</w:t>
      </w:r>
      <w:r w:rsidRPr="007E2337">
        <w:t xml:space="preserve"> </w:t>
      </w:r>
    </w:p>
    <w:p w14:paraId="7C34718F" w14:textId="4A8864B0" w:rsidR="0079573E" w:rsidRPr="007E2337" w:rsidRDefault="0079573E" w:rsidP="007E2337">
      <w:pPr>
        <w:pStyle w:val="ListParagraph"/>
        <w:numPr>
          <w:ilvl w:val="0"/>
          <w:numId w:val="7"/>
        </w:numPr>
        <w:ind w:left="360"/>
      </w:pPr>
      <w:r w:rsidRPr="007E2337">
        <w:t>Takes minutes and ensures official records are kept of all meetings including confidential and in camera sessions.</w:t>
      </w:r>
    </w:p>
    <w:p w14:paraId="02F57802" w14:textId="754D1EC7" w:rsidR="0079573E" w:rsidRPr="007E2337" w:rsidRDefault="0079573E" w:rsidP="007E2337">
      <w:pPr>
        <w:pStyle w:val="ListParagraph"/>
        <w:numPr>
          <w:ilvl w:val="0"/>
          <w:numId w:val="7"/>
        </w:numPr>
        <w:ind w:left="360"/>
      </w:pPr>
      <w:r w:rsidRPr="007E2337">
        <w:t xml:space="preserve">Provides confidential secretarial support for special projects </w:t>
      </w:r>
      <w:r w:rsidR="00086797" w:rsidRPr="007E2337">
        <w:t xml:space="preserve">as required </w:t>
      </w:r>
      <w:r w:rsidRPr="007E2337">
        <w:t xml:space="preserve">(e.g. Presidential reviews/searches, task forces supported by the Secretariat). </w:t>
      </w:r>
    </w:p>
    <w:p w14:paraId="01166CA0" w14:textId="5D0D4E35" w:rsidR="00B11C13" w:rsidRPr="007E2337" w:rsidRDefault="00B11C13" w:rsidP="007E2337">
      <w:pPr>
        <w:pStyle w:val="Heading5"/>
      </w:pPr>
      <w:r w:rsidRPr="007E2337">
        <w:t>Special Appeals</w:t>
      </w:r>
      <w:r w:rsidR="004A70C4" w:rsidRPr="007E2337">
        <w:t>:</w:t>
      </w:r>
    </w:p>
    <w:p w14:paraId="1CC9C53E" w14:textId="3AC3E5B4" w:rsidR="00427611" w:rsidRDefault="00427611" w:rsidP="007E2337">
      <w:pPr>
        <w:pStyle w:val="ListParagraph"/>
        <w:numPr>
          <w:ilvl w:val="0"/>
          <w:numId w:val="7"/>
        </w:numPr>
        <w:ind w:left="360"/>
      </w:pPr>
      <w:r>
        <w:t xml:space="preserve">Administers the </w:t>
      </w:r>
      <w:r w:rsidR="00AD5E52">
        <w:t>U</w:t>
      </w:r>
      <w:r>
        <w:t xml:space="preserve">niversity’s highest level </w:t>
      </w:r>
      <w:r w:rsidR="00AD5E52">
        <w:t xml:space="preserve">academic </w:t>
      </w:r>
      <w:r>
        <w:t>appeal process</w:t>
      </w:r>
      <w:r w:rsidR="00AD5E52">
        <w:t>, including formal tribunal administration for cases involving undergraduate, graduate and professional students that are subject to court oversight and may involve legal representation</w:t>
      </w:r>
      <w:r w:rsidR="007E2337">
        <w:t>.</w:t>
      </w:r>
    </w:p>
    <w:p w14:paraId="7C649A63" w14:textId="77777777" w:rsidR="002F1B9A" w:rsidRDefault="00427611" w:rsidP="007E2337">
      <w:pPr>
        <w:pStyle w:val="ListParagraph"/>
        <w:numPr>
          <w:ilvl w:val="0"/>
          <w:numId w:val="7"/>
        </w:numPr>
        <w:ind w:left="360"/>
      </w:pPr>
      <w:r>
        <w:t>Provides advice to students, faculty, academic advisors, and administrators on Special Appeals process and practice as well as lower-level processes.</w:t>
      </w:r>
    </w:p>
    <w:p w14:paraId="63CE808A" w14:textId="77777777" w:rsidR="002F1B9A" w:rsidRDefault="00427611" w:rsidP="007E2337">
      <w:pPr>
        <w:pStyle w:val="ListParagraph"/>
        <w:numPr>
          <w:ilvl w:val="0"/>
          <w:numId w:val="7"/>
        </w:numPr>
        <w:ind w:left="360"/>
      </w:pPr>
      <w:r>
        <w:t>Receives and processes appeals considering various jurisdictional matters, exercising discretion delegated by the committee with respect to deadlines.</w:t>
      </w:r>
    </w:p>
    <w:p w14:paraId="4547577B" w14:textId="77777777" w:rsidR="002F1B9A" w:rsidRDefault="00427611" w:rsidP="007E2337">
      <w:pPr>
        <w:pStyle w:val="ListParagraph"/>
        <w:numPr>
          <w:ilvl w:val="0"/>
          <w:numId w:val="7"/>
        </w:numPr>
        <w:ind w:left="360"/>
      </w:pPr>
      <w:r>
        <w:t>Communicates with the parties through the various stages of the appeal process, including with legal counsel retained by appellants or other named representatives.</w:t>
      </w:r>
    </w:p>
    <w:p w14:paraId="467C7352" w14:textId="77777777" w:rsidR="002F1B9A" w:rsidRDefault="00427611" w:rsidP="007E2337">
      <w:pPr>
        <w:pStyle w:val="ListParagraph"/>
        <w:numPr>
          <w:ilvl w:val="0"/>
          <w:numId w:val="7"/>
        </w:numPr>
        <w:ind w:left="360"/>
      </w:pPr>
      <w:r>
        <w:t>Consults with the Special Appeals Chair on various matters and provides briefings to the Chair / Vice-Chair in advance of hearings.</w:t>
      </w:r>
    </w:p>
    <w:p w14:paraId="27BD4658" w14:textId="761236E4" w:rsidR="002F1B9A" w:rsidRDefault="00427611" w:rsidP="007E2337">
      <w:pPr>
        <w:pStyle w:val="ListParagraph"/>
        <w:numPr>
          <w:ilvl w:val="0"/>
          <w:numId w:val="7"/>
        </w:numPr>
        <w:ind w:left="360"/>
      </w:pPr>
      <w:r>
        <w:lastRenderedPageBreak/>
        <w:t>Develops and delivers annual comprehensive and participatory training program for panel members on matters of jurisdiction, bias/conflict of interest, natural justice and procedural fairness, burden of proof, evidence and decision-making principles.</w:t>
      </w:r>
    </w:p>
    <w:p w14:paraId="73C18B88" w14:textId="33D0C3B6" w:rsidR="002F1B9A" w:rsidRDefault="00427611" w:rsidP="007E2337">
      <w:pPr>
        <w:pStyle w:val="ListParagraph"/>
        <w:numPr>
          <w:ilvl w:val="0"/>
          <w:numId w:val="7"/>
        </w:numPr>
        <w:ind w:left="360"/>
      </w:pPr>
      <w:r>
        <w:t xml:space="preserve">Develops </w:t>
      </w:r>
      <w:r w:rsidR="00AD5E52">
        <w:t xml:space="preserve">various scenario </w:t>
      </w:r>
      <w:r>
        <w:t xml:space="preserve">scripts for the Chair/Vice-Chairs to use </w:t>
      </w:r>
      <w:r w:rsidR="00AD5E52">
        <w:t>in</w:t>
      </w:r>
      <w:r>
        <w:t xml:space="preserve"> hearing</w:t>
      </w:r>
      <w:r w:rsidR="00AD5E52">
        <w:t>s</w:t>
      </w:r>
      <w:r>
        <w:t xml:space="preserve"> and serves in an on-the-spot advisory capacity during hearings.</w:t>
      </w:r>
    </w:p>
    <w:p w14:paraId="1BEEE97F" w14:textId="77777777" w:rsidR="002F1B9A" w:rsidRDefault="00427611" w:rsidP="007E2337">
      <w:pPr>
        <w:pStyle w:val="ListParagraph"/>
        <w:numPr>
          <w:ilvl w:val="0"/>
          <w:numId w:val="7"/>
        </w:numPr>
        <w:ind w:left="360"/>
      </w:pPr>
      <w:r>
        <w:t>Provides advice to panel members during deliberations on precedent, procedure and legal principles; facilitates deliberation discussions to ensure clear reasoning.</w:t>
      </w:r>
    </w:p>
    <w:p w14:paraId="3FAC7EA9" w14:textId="77777777" w:rsidR="002F1B9A" w:rsidRDefault="00427611" w:rsidP="007E2337">
      <w:pPr>
        <w:pStyle w:val="ListParagraph"/>
        <w:numPr>
          <w:ilvl w:val="0"/>
          <w:numId w:val="7"/>
        </w:numPr>
        <w:ind w:left="360"/>
      </w:pPr>
      <w:r>
        <w:t>Takes minutes and maintains the official record of the proceeding.</w:t>
      </w:r>
    </w:p>
    <w:p w14:paraId="2FF85A42" w14:textId="77777777" w:rsidR="002F1B9A" w:rsidRDefault="00427611" w:rsidP="007E2337">
      <w:pPr>
        <w:pStyle w:val="ListParagraph"/>
        <w:numPr>
          <w:ilvl w:val="0"/>
          <w:numId w:val="7"/>
        </w:numPr>
        <w:ind w:left="360"/>
      </w:pPr>
      <w:r>
        <w:t>Drafts decisions for the Chair further to panel deliberations, consulting with other specialist resources as appropriate.</w:t>
      </w:r>
    </w:p>
    <w:p w14:paraId="5B002E3A" w14:textId="084FF8FE" w:rsidR="00427611" w:rsidRDefault="00427611" w:rsidP="007E2337">
      <w:pPr>
        <w:pStyle w:val="ListParagraph"/>
        <w:numPr>
          <w:ilvl w:val="0"/>
          <w:numId w:val="7"/>
        </w:numPr>
        <w:ind w:left="360"/>
      </w:pPr>
      <w:r>
        <w:t>Prepares case notes; maintains files, database of precedents and website.</w:t>
      </w:r>
    </w:p>
    <w:p w14:paraId="43B0DE20" w14:textId="7CF9ED0D" w:rsidR="00A00264" w:rsidRPr="007E2337" w:rsidRDefault="0079573E" w:rsidP="007E2337">
      <w:pPr>
        <w:pStyle w:val="Heading5"/>
      </w:pPr>
      <w:r w:rsidRPr="007E2337">
        <w:t>Access/Privacy</w:t>
      </w:r>
      <w:r w:rsidR="00A00264" w:rsidRPr="007E2337">
        <w:t>:</w:t>
      </w:r>
    </w:p>
    <w:p w14:paraId="0864991E" w14:textId="6BA5E3A3" w:rsidR="0079573E" w:rsidRPr="007E2337" w:rsidRDefault="0079573E" w:rsidP="007E2337">
      <w:pPr>
        <w:rPr>
          <w:rFonts w:cs="Arial"/>
        </w:rPr>
      </w:pPr>
      <w:r w:rsidRPr="007E2337">
        <w:rPr>
          <w:rFonts w:cs="Arial"/>
        </w:rPr>
        <w:t>Under the general supervision (as required) of the University Secretary or designate:</w:t>
      </w:r>
    </w:p>
    <w:p w14:paraId="1652C50E" w14:textId="77777777" w:rsidR="0079573E" w:rsidRPr="007E2337" w:rsidRDefault="0079573E" w:rsidP="007E2337">
      <w:pPr>
        <w:pStyle w:val="ListParagraph"/>
        <w:numPr>
          <w:ilvl w:val="0"/>
          <w:numId w:val="7"/>
        </w:numPr>
        <w:ind w:left="360"/>
      </w:pPr>
      <w:r w:rsidRPr="0079573E">
        <w:rPr>
          <w:rFonts w:cs="Arial"/>
        </w:rPr>
        <w:t xml:space="preserve">Responds on behalf of the University to all internal and external queries </w:t>
      </w:r>
      <w:r w:rsidRPr="007E2337">
        <w:t xml:space="preserve">regarding freedom of information and protection of personal privacy. </w:t>
      </w:r>
    </w:p>
    <w:p w14:paraId="005E638F" w14:textId="77777777" w:rsidR="0079573E" w:rsidRPr="007E2337" w:rsidRDefault="0079573E" w:rsidP="007E2337">
      <w:pPr>
        <w:pStyle w:val="ListParagraph"/>
        <w:numPr>
          <w:ilvl w:val="0"/>
          <w:numId w:val="7"/>
        </w:numPr>
        <w:ind w:left="360"/>
      </w:pPr>
      <w:r w:rsidRPr="007E2337">
        <w:t xml:space="preserve">Coordinates the formal request process for access to information under the Freedom of Information and Protection of Privacy Act (FIPPA). </w:t>
      </w:r>
    </w:p>
    <w:p w14:paraId="401E24A3" w14:textId="77777777" w:rsidR="0079573E" w:rsidRPr="007E2337" w:rsidRDefault="0079573E" w:rsidP="007E2337">
      <w:pPr>
        <w:pStyle w:val="ListParagraph"/>
        <w:numPr>
          <w:ilvl w:val="0"/>
          <w:numId w:val="7"/>
        </w:numPr>
        <w:ind w:left="360"/>
      </w:pPr>
      <w:r w:rsidRPr="007E2337">
        <w:t>Advises senior administration on the correct application of access and privacy legislation (FIPPA, PHIPA, and PIPEDA) and prepares decision letters in response to access requests.</w:t>
      </w:r>
    </w:p>
    <w:p w14:paraId="5F706A30" w14:textId="77777777" w:rsidR="0079573E" w:rsidRPr="007E2337" w:rsidRDefault="0079573E" w:rsidP="007E2337">
      <w:pPr>
        <w:pStyle w:val="ListParagraph"/>
        <w:numPr>
          <w:ilvl w:val="0"/>
          <w:numId w:val="7"/>
        </w:numPr>
        <w:ind w:left="360"/>
      </w:pPr>
      <w:r w:rsidRPr="007E2337">
        <w:t>Develops privacy protection policies and best practices, advises departments and administration on privacy dimensions of new initiatives, develops privacy schedules for contracts, and prepares information collection notices to support legislative compliance.</w:t>
      </w:r>
    </w:p>
    <w:p w14:paraId="76A6AE04" w14:textId="77777777" w:rsidR="0079573E" w:rsidRPr="007E2337" w:rsidRDefault="0079573E" w:rsidP="007E2337">
      <w:pPr>
        <w:pStyle w:val="ListParagraph"/>
        <w:numPr>
          <w:ilvl w:val="0"/>
          <w:numId w:val="7"/>
        </w:numPr>
        <w:ind w:left="360"/>
      </w:pPr>
      <w:r w:rsidRPr="007E2337">
        <w:t>Prepares the University’s Annual Report to the Ontario Information &amp; Privacy Commissioner (IPC) and liaises with IPC on behalf of the University in matters relating to formal access appeals, privacy complaints and privacy breaches.</w:t>
      </w:r>
    </w:p>
    <w:p w14:paraId="736ED5F2" w14:textId="464E6B00" w:rsidR="0079573E" w:rsidRPr="007E2337" w:rsidRDefault="0079573E" w:rsidP="007E2337">
      <w:pPr>
        <w:pStyle w:val="ListParagraph"/>
        <w:numPr>
          <w:ilvl w:val="0"/>
          <w:numId w:val="7"/>
        </w:numPr>
        <w:ind w:left="360"/>
      </w:pPr>
      <w:r w:rsidRPr="007E2337">
        <w:t>Responds to privacy complaints and privacy breaches (real or potential) in consultation with the University Secretary or designate and advises senior administration on the management of privacy breaches, including review of advice from legal counsel.</w:t>
      </w:r>
    </w:p>
    <w:p w14:paraId="7E12A6E9" w14:textId="77777777" w:rsidR="0079573E" w:rsidRPr="007E2337" w:rsidRDefault="0079573E" w:rsidP="007E2337">
      <w:pPr>
        <w:pStyle w:val="ListParagraph"/>
        <w:numPr>
          <w:ilvl w:val="0"/>
          <w:numId w:val="7"/>
        </w:numPr>
        <w:ind w:left="360"/>
      </w:pPr>
      <w:r w:rsidRPr="007E2337">
        <w:t>Represents the University on COU Access/Privacy Task Force and provincial FIPPA Coordinators group.</w:t>
      </w:r>
    </w:p>
    <w:p w14:paraId="2C9A3E8B" w14:textId="77777777" w:rsidR="0079573E" w:rsidRPr="007E2337" w:rsidRDefault="0079573E" w:rsidP="007E2337">
      <w:pPr>
        <w:pStyle w:val="ListParagraph"/>
        <w:numPr>
          <w:ilvl w:val="0"/>
          <w:numId w:val="7"/>
        </w:numPr>
        <w:ind w:left="360"/>
      </w:pPr>
      <w:r w:rsidRPr="007E2337">
        <w:t>Reports to the Board of Governors annually on FIPPA compliance.</w:t>
      </w:r>
    </w:p>
    <w:p w14:paraId="345E24C0" w14:textId="77777777" w:rsidR="0079573E" w:rsidRPr="007E2337" w:rsidRDefault="0079573E" w:rsidP="007E2337">
      <w:pPr>
        <w:pStyle w:val="ListParagraph"/>
        <w:numPr>
          <w:ilvl w:val="0"/>
          <w:numId w:val="7"/>
        </w:numPr>
        <w:ind w:left="360"/>
      </w:pPr>
      <w:r w:rsidRPr="007E2337">
        <w:t>Compiles and updates annually the University’s FIPPA Directory of Records.</w:t>
      </w:r>
    </w:p>
    <w:p w14:paraId="1AB4B3D1" w14:textId="5FF3579D" w:rsidR="0079573E" w:rsidRPr="007E2337" w:rsidRDefault="0079573E" w:rsidP="007E2337">
      <w:pPr>
        <w:pStyle w:val="ListParagraph"/>
        <w:numPr>
          <w:ilvl w:val="0"/>
          <w:numId w:val="7"/>
        </w:numPr>
        <w:ind w:left="360"/>
      </w:pPr>
      <w:r w:rsidRPr="007E2337">
        <w:t>Develops privacy training content and educational materials on best practices for employees and delivers in-person privacy training on an as-needed basis.</w:t>
      </w:r>
    </w:p>
    <w:p w14:paraId="21631924" w14:textId="77777777" w:rsidR="0079573E" w:rsidRPr="007E2337" w:rsidRDefault="0079573E" w:rsidP="007E2337">
      <w:pPr>
        <w:pStyle w:val="ListParagraph"/>
        <w:numPr>
          <w:ilvl w:val="0"/>
          <w:numId w:val="7"/>
        </w:numPr>
        <w:ind w:left="360"/>
      </w:pPr>
      <w:r w:rsidRPr="007E2337">
        <w:t>Plans, coordinates, and chairs meetings of access/privacy related working groups (CASL Task Force, GDPR Working Group, etc.) and advances its work through the appropriate levels of senior administration on an as-needed basis.</w:t>
      </w:r>
    </w:p>
    <w:p w14:paraId="71C8471A" w14:textId="77777777" w:rsidR="0079573E" w:rsidRPr="007E2337" w:rsidRDefault="0079573E" w:rsidP="007E2337">
      <w:pPr>
        <w:pStyle w:val="ListParagraph"/>
        <w:numPr>
          <w:ilvl w:val="0"/>
          <w:numId w:val="7"/>
        </w:numPr>
        <w:ind w:left="360"/>
      </w:pPr>
      <w:r w:rsidRPr="007E2337">
        <w:lastRenderedPageBreak/>
        <w:t>Keeps abreast of new developments and emerging issues/standards in this field, and monitors decisions (by IPC, courts, arbitrators, etc.) that could have an impact on the University; coordinates implementation of changes in policies and/or procedures at the University as appropriate.</w:t>
      </w:r>
    </w:p>
    <w:p w14:paraId="0AD70EBA" w14:textId="515BD099" w:rsidR="00A00264" w:rsidRPr="007E2337" w:rsidRDefault="0079573E" w:rsidP="007E2337">
      <w:pPr>
        <w:pStyle w:val="Heading5"/>
      </w:pPr>
      <w:r w:rsidRPr="007E2337">
        <w:t>Policy</w:t>
      </w:r>
      <w:r w:rsidR="00A00264" w:rsidRPr="007E2337">
        <w:t>:</w:t>
      </w:r>
    </w:p>
    <w:p w14:paraId="631E6FC6" w14:textId="77777777" w:rsidR="0079573E" w:rsidRPr="007E2337" w:rsidRDefault="0079573E" w:rsidP="007E2337">
      <w:pPr>
        <w:pStyle w:val="ListParagraph"/>
        <w:numPr>
          <w:ilvl w:val="0"/>
          <w:numId w:val="7"/>
        </w:numPr>
        <w:ind w:left="360"/>
      </w:pPr>
      <w:r w:rsidRPr="007E2337">
        <w:t xml:space="preserve">Provides guidance on the appropriate approval process for Board-approved, academic, and administrative policies, procedures, and guidelines. </w:t>
      </w:r>
    </w:p>
    <w:p w14:paraId="21B2E86E" w14:textId="77777777" w:rsidR="0079573E" w:rsidRPr="007E2337" w:rsidRDefault="0079573E" w:rsidP="007E2337">
      <w:pPr>
        <w:pStyle w:val="ListParagraph"/>
        <w:numPr>
          <w:ilvl w:val="0"/>
          <w:numId w:val="7"/>
        </w:numPr>
        <w:ind w:left="360"/>
      </w:pPr>
      <w:r w:rsidRPr="007E2337">
        <w:t>Coordinates review of proposed policies by the University Policy Review Committee and coordinate meetings, as required.</w:t>
      </w:r>
    </w:p>
    <w:p w14:paraId="11C016DC" w14:textId="7D4B7754" w:rsidR="00E947D4" w:rsidRPr="007E2337" w:rsidRDefault="0079573E" w:rsidP="007E2337">
      <w:pPr>
        <w:pStyle w:val="ListParagraph"/>
        <w:numPr>
          <w:ilvl w:val="0"/>
          <w:numId w:val="7"/>
        </w:numPr>
        <w:ind w:left="360"/>
      </w:pPr>
      <w:r w:rsidRPr="007E2337">
        <w:t>Coordinates the community consultation process, including, but not limited to, communication with the unions.</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7696BB42" w14:textId="615464C7" w:rsidR="003E7699" w:rsidRPr="007E2337" w:rsidRDefault="00F4092E" w:rsidP="007E2337">
      <w:pPr>
        <w:pStyle w:val="ListParagraph"/>
        <w:numPr>
          <w:ilvl w:val="0"/>
          <w:numId w:val="7"/>
        </w:numPr>
        <w:ind w:left="360"/>
      </w:pPr>
      <w:r w:rsidRPr="007E2337">
        <w:t xml:space="preserve">Bachelor’s </w:t>
      </w:r>
      <w:r w:rsidR="007E2337">
        <w:t>D</w:t>
      </w:r>
      <w:r w:rsidRPr="007E2337">
        <w:t xml:space="preserve">egree (Honours) </w:t>
      </w:r>
      <w:r w:rsidR="00493B25" w:rsidRPr="007E2337">
        <w:t>required</w:t>
      </w:r>
      <w:r w:rsidR="007E2337">
        <w:t xml:space="preserve">. </w:t>
      </w:r>
      <w:r w:rsidRPr="007E2337">
        <w:t>Master’s degree considered an asset</w:t>
      </w:r>
      <w:r w:rsidR="00493B25" w:rsidRPr="007E2337">
        <w:t>.</w:t>
      </w:r>
    </w:p>
    <w:p w14:paraId="2A15BAD7" w14:textId="7B041838" w:rsidR="00A133B8" w:rsidRPr="007E2337" w:rsidRDefault="0079573E" w:rsidP="007E2337">
      <w:pPr>
        <w:pStyle w:val="ListParagraph"/>
        <w:numPr>
          <w:ilvl w:val="0"/>
          <w:numId w:val="7"/>
        </w:numPr>
        <w:ind w:left="360"/>
      </w:pPr>
      <w:r w:rsidRPr="007E2337">
        <w:t>Formal training in access and privacy</w:t>
      </w:r>
      <w:r w:rsidR="00F6602D" w:rsidRPr="007E2337">
        <w:t xml:space="preserve"> is preferred</w:t>
      </w:r>
      <w:r w:rsidRPr="007E2337">
        <w:t>.</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584D25DC" w14:textId="3037EDEF" w:rsidR="00493B25" w:rsidRPr="007E2337" w:rsidRDefault="00313426" w:rsidP="007E2337">
      <w:pPr>
        <w:pStyle w:val="ListParagraph"/>
        <w:numPr>
          <w:ilvl w:val="0"/>
          <w:numId w:val="7"/>
        </w:numPr>
        <w:ind w:left="360"/>
      </w:pPr>
      <w:r w:rsidRPr="007E2337">
        <w:t>Five (5) years of related experience in governance or executive administration, including at least one (1) year working with privacy legislation and freedom of information requests.</w:t>
      </w:r>
    </w:p>
    <w:p w14:paraId="75B7CA44" w14:textId="77777777" w:rsidR="00F70C7B" w:rsidRPr="007E2337" w:rsidRDefault="004955D3" w:rsidP="007E2337">
      <w:pPr>
        <w:pStyle w:val="ListParagraph"/>
        <w:numPr>
          <w:ilvl w:val="0"/>
          <w:numId w:val="7"/>
        </w:numPr>
        <w:ind w:left="360"/>
      </w:pPr>
      <w:bookmarkStart w:id="0" w:name="_Hlk214279152"/>
      <w:r w:rsidRPr="007E2337">
        <w:t xml:space="preserve">Demonstrated knowledge of, and ability to apply, </w:t>
      </w:r>
      <w:r w:rsidR="00F70C7B" w:rsidRPr="007E2337">
        <w:t>administrative tribunal processes.</w:t>
      </w:r>
    </w:p>
    <w:p w14:paraId="5DEE256C" w14:textId="7D95C51C" w:rsidR="00313426" w:rsidRPr="007E2337" w:rsidRDefault="00493B25" w:rsidP="007E2337">
      <w:pPr>
        <w:pStyle w:val="ListParagraph"/>
        <w:numPr>
          <w:ilvl w:val="0"/>
          <w:numId w:val="7"/>
        </w:numPr>
        <w:ind w:left="360"/>
      </w:pPr>
      <w:r w:rsidRPr="007E2337">
        <w:t>Experience working in a post-secondary environment and/or with volunteer Boards an asset.</w:t>
      </w:r>
    </w:p>
    <w:bookmarkEnd w:id="0"/>
    <w:p w14:paraId="257AB9B5" w14:textId="2B9469A2" w:rsidR="0079573E" w:rsidRPr="007E2337" w:rsidRDefault="00313426" w:rsidP="007E2337">
      <w:pPr>
        <w:pStyle w:val="ListParagraph"/>
        <w:numPr>
          <w:ilvl w:val="0"/>
          <w:numId w:val="7"/>
        </w:numPr>
        <w:ind w:left="360"/>
      </w:pPr>
      <w:r w:rsidRPr="007E2337">
        <w:t>K</w:t>
      </w:r>
      <w:r w:rsidR="0079573E" w:rsidRPr="007E2337">
        <w:t>nowledge of access and privacy legislation and related policies and practices, in</w:t>
      </w:r>
      <w:r w:rsidRPr="007E2337">
        <w:t xml:space="preserve">cluding </w:t>
      </w:r>
      <w:r w:rsidR="0079573E" w:rsidRPr="007E2337">
        <w:t>the Freedom of Information and Protection of Privacy Act (FIPPA), Personal Health Information Protection Act (PHIPA), Canada’s Anti-Spam Legislation (CASL), and General Data Protection Regulation (GDPR).</w:t>
      </w:r>
    </w:p>
    <w:p w14:paraId="1E5F65CD" w14:textId="77777777" w:rsidR="00493B25" w:rsidRPr="007E2337" w:rsidRDefault="00493B25" w:rsidP="007E2337">
      <w:pPr>
        <w:pStyle w:val="ListParagraph"/>
        <w:numPr>
          <w:ilvl w:val="0"/>
          <w:numId w:val="7"/>
        </w:numPr>
        <w:ind w:left="360"/>
      </w:pPr>
      <w:r w:rsidRPr="007E2337">
        <w:t>Strong research and analytical skills, with the ability to synthesize complex information and interpret legislation, by-laws, and policies.</w:t>
      </w:r>
    </w:p>
    <w:p w14:paraId="727BFDFD" w14:textId="57C63EC5" w:rsidR="00313426" w:rsidRPr="007E2337" w:rsidRDefault="00313426" w:rsidP="007E2337">
      <w:pPr>
        <w:pStyle w:val="ListParagraph"/>
        <w:numPr>
          <w:ilvl w:val="0"/>
          <w:numId w:val="7"/>
        </w:numPr>
        <w:ind w:left="360"/>
      </w:pPr>
      <w:r w:rsidRPr="007E2337">
        <w:t>Excellent interpersonal skills, with professionalism, diplomacy, and discretion in handling sensitive matters.</w:t>
      </w:r>
    </w:p>
    <w:p w14:paraId="32B756B9" w14:textId="7DAB0F7D" w:rsidR="00FE6519" w:rsidRPr="007E2337" w:rsidRDefault="00313426" w:rsidP="007E2337">
      <w:pPr>
        <w:pStyle w:val="ListParagraph"/>
        <w:numPr>
          <w:ilvl w:val="0"/>
          <w:numId w:val="7"/>
        </w:numPr>
        <w:ind w:left="360"/>
      </w:pPr>
      <w:r w:rsidRPr="007E2337">
        <w:t>Strong verbal and written communication skills with the</w:t>
      </w:r>
      <w:r w:rsidR="00FE6519" w:rsidRPr="007E2337">
        <w:t xml:space="preserve"> ability to draft high-level</w:t>
      </w:r>
      <w:r w:rsidRPr="007E2337">
        <w:t xml:space="preserve"> documents such as minutes, briefing notes, motions, and policies.</w:t>
      </w:r>
    </w:p>
    <w:p w14:paraId="51DE7865" w14:textId="12906FFE" w:rsidR="00493B25" w:rsidRPr="007E2337" w:rsidRDefault="00493B25" w:rsidP="007E2337">
      <w:pPr>
        <w:pStyle w:val="ListParagraph"/>
        <w:numPr>
          <w:ilvl w:val="0"/>
          <w:numId w:val="7"/>
        </w:numPr>
        <w:ind w:left="360"/>
      </w:pPr>
      <w:r w:rsidRPr="007E2337">
        <w:t>Advanced organizational and project management skills, including meeting coordination and the ability to manage multiple priorities.</w:t>
      </w:r>
    </w:p>
    <w:p w14:paraId="4BD86796" w14:textId="5C94217C" w:rsidR="00493B25" w:rsidRPr="007E2337" w:rsidRDefault="00493B25" w:rsidP="007E2337">
      <w:pPr>
        <w:pStyle w:val="ListParagraph"/>
        <w:numPr>
          <w:ilvl w:val="0"/>
          <w:numId w:val="7"/>
        </w:numPr>
        <w:ind w:left="360"/>
      </w:pPr>
      <w:r w:rsidRPr="007E2337">
        <w:t>Demonstrated ability to take initiative, work independently and participate collaboratively in a team environment.</w:t>
      </w:r>
    </w:p>
    <w:p w14:paraId="5C1EC6A2" w14:textId="276BE82C" w:rsidR="0079573E" w:rsidRPr="007E2337" w:rsidRDefault="00FE6519" w:rsidP="007E2337">
      <w:pPr>
        <w:pStyle w:val="ListParagraph"/>
        <w:numPr>
          <w:ilvl w:val="0"/>
          <w:numId w:val="7"/>
        </w:numPr>
        <w:ind w:left="360"/>
      </w:pPr>
      <w:r w:rsidRPr="007E2337">
        <w:t>Strong computer skills with high degree of proficiency with all Microsoft Office applications, Adobe Acrobat and videoconferencing tools (</w:t>
      </w:r>
      <w:r w:rsidR="00F6602D" w:rsidRPr="007E2337">
        <w:t>Z</w:t>
      </w:r>
      <w:r w:rsidRPr="007E2337">
        <w:t>oom)</w:t>
      </w:r>
      <w:r w:rsidR="00493B25" w:rsidRPr="007E2337">
        <w:t>.</w:t>
      </w:r>
    </w:p>
    <w:p w14:paraId="5EF1374E" w14:textId="79B72B21" w:rsidR="00CA2A5E" w:rsidRDefault="00493B25" w:rsidP="007E2337">
      <w:pPr>
        <w:pStyle w:val="ListParagraph"/>
        <w:numPr>
          <w:ilvl w:val="0"/>
          <w:numId w:val="7"/>
        </w:numPr>
        <w:ind w:left="360"/>
      </w:pPr>
      <w:r w:rsidRPr="007E2337">
        <w:t xml:space="preserve">Able </w:t>
      </w:r>
      <w:r w:rsidR="00076CB8" w:rsidRPr="007E2337">
        <w:t>to work irregular hours, as require</w:t>
      </w:r>
      <w:r w:rsidR="00F6602D" w:rsidRPr="007E2337">
        <w:t>d, including early morning and evening meetings/events.</w:t>
      </w:r>
    </w:p>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B303E" w14:textId="77777777" w:rsidR="00BE6A28" w:rsidRDefault="00BE6A28" w:rsidP="00937CA4">
      <w:pPr>
        <w:spacing w:after="0" w:line="240" w:lineRule="auto"/>
      </w:pPr>
      <w:r>
        <w:separator/>
      </w:r>
    </w:p>
  </w:endnote>
  <w:endnote w:type="continuationSeparator" w:id="0">
    <w:p w14:paraId="666B22D4" w14:textId="77777777" w:rsidR="00BE6A28" w:rsidRDefault="00BE6A28"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383CBA2"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79573E">
              <w:rPr>
                <w:rFonts w:cs="Arial"/>
                <w:i/>
                <w:iCs/>
                <w:color w:val="808080" w:themeColor="background1" w:themeShade="80"/>
                <w:sz w:val="18"/>
                <w:szCs w:val="18"/>
              </w:rPr>
              <w:t>X-323</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79573E">
              <w:rPr>
                <w:rFonts w:cs="Arial"/>
                <w:i/>
                <w:iCs/>
                <w:color w:val="808080" w:themeColor="background1" w:themeShade="80"/>
                <w:sz w:val="18"/>
                <w:szCs w:val="18"/>
              </w:rPr>
              <w:t>030</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7E2337" w:rsidRPr="007E2337">
              <w:rPr>
                <w:rFonts w:cs="Arial"/>
                <w:i/>
                <w:iCs/>
                <w:color w:val="808080" w:themeColor="background1" w:themeShade="80"/>
                <w:sz w:val="18"/>
                <w:szCs w:val="18"/>
              </w:rPr>
              <w:t>April 16, 2026</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F2BF3" w14:textId="77777777" w:rsidR="00BE6A28" w:rsidRDefault="00BE6A28" w:rsidP="00937CA4">
      <w:pPr>
        <w:spacing w:after="0" w:line="240" w:lineRule="auto"/>
      </w:pPr>
      <w:r>
        <w:separator/>
      </w:r>
    </w:p>
  </w:footnote>
  <w:footnote w:type="continuationSeparator" w:id="0">
    <w:p w14:paraId="564B8E8E" w14:textId="77777777" w:rsidR="00BE6A28" w:rsidRDefault="00BE6A28"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47C3563"/>
    <w:multiLevelType w:val="hybridMultilevel"/>
    <w:tmpl w:val="888828A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83B4DF2"/>
    <w:multiLevelType w:val="hybridMultilevel"/>
    <w:tmpl w:val="2F183524"/>
    <w:lvl w:ilvl="0" w:tplc="FB685E4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3BB6FF0"/>
    <w:multiLevelType w:val="hybridMultilevel"/>
    <w:tmpl w:val="0EEE14D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A0778BE"/>
    <w:multiLevelType w:val="hybridMultilevel"/>
    <w:tmpl w:val="AE965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9396D"/>
    <w:multiLevelType w:val="hybridMultilevel"/>
    <w:tmpl w:val="967ECD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21078C"/>
    <w:multiLevelType w:val="hybridMultilevel"/>
    <w:tmpl w:val="847C1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B4343F"/>
    <w:multiLevelType w:val="hybridMultilevel"/>
    <w:tmpl w:val="967ECD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5616D3"/>
    <w:multiLevelType w:val="hybridMultilevel"/>
    <w:tmpl w:val="BB4CC5CE"/>
    <w:lvl w:ilvl="0" w:tplc="9AC2A3CE">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792DF2"/>
    <w:multiLevelType w:val="hybridMultilevel"/>
    <w:tmpl w:val="93BAD0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609B5C8C"/>
    <w:multiLevelType w:val="hybridMultilevel"/>
    <w:tmpl w:val="86DABDB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DC58C3"/>
    <w:multiLevelType w:val="hybridMultilevel"/>
    <w:tmpl w:val="E8A0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915050">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715763395">
    <w:abstractNumId w:val="11"/>
  </w:num>
  <w:num w:numId="3" w16cid:durableId="116222446">
    <w:abstractNumId w:val="7"/>
  </w:num>
  <w:num w:numId="4" w16cid:durableId="123818535">
    <w:abstractNumId w:val="5"/>
  </w:num>
  <w:num w:numId="5" w16cid:durableId="1738628359">
    <w:abstractNumId w:val="1"/>
  </w:num>
  <w:num w:numId="6" w16cid:durableId="1033726655">
    <w:abstractNumId w:val="2"/>
  </w:num>
  <w:num w:numId="7" w16cid:durableId="1009793497">
    <w:abstractNumId w:val="8"/>
  </w:num>
  <w:num w:numId="8" w16cid:durableId="1015418667">
    <w:abstractNumId w:val="9"/>
  </w:num>
  <w:num w:numId="9" w16cid:durableId="2113089122">
    <w:abstractNumId w:val="10"/>
  </w:num>
  <w:num w:numId="10" w16cid:durableId="501703417">
    <w:abstractNumId w:val="4"/>
  </w:num>
  <w:num w:numId="11" w16cid:durableId="833564873">
    <w:abstractNumId w:val="6"/>
  </w:num>
  <w:num w:numId="12" w16cid:durableId="855004573">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76CB8"/>
    <w:rsid w:val="00086797"/>
    <w:rsid w:val="000A6399"/>
    <w:rsid w:val="000D32FE"/>
    <w:rsid w:val="000F5C8D"/>
    <w:rsid w:val="00104589"/>
    <w:rsid w:val="00110344"/>
    <w:rsid w:val="0014517E"/>
    <w:rsid w:val="00183F8C"/>
    <w:rsid w:val="00190B43"/>
    <w:rsid w:val="001A0C4B"/>
    <w:rsid w:val="001A1B5F"/>
    <w:rsid w:val="001B5D46"/>
    <w:rsid w:val="001B7233"/>
    <w:rsid w:val="001E6A32"/>
    <w:rsid w:val="00204B93"/>
    <w:rsid w:val="00241D21"/>
    <w:rsid w:val="00242A13"/>
    <w:rsid w:val="002615EA"/>
    <w:rsid w:val="00266124"/>
    <w:rsid w:val="002F1B9A"/>
    <w:rsid w:val="00304028"/>
    <w:rsid w:val="00313426"/>
    <w:rsid w:val="00334F2B"/>
    <w:rsid w:val="0035483F"/>
    <w:rsid w:val="00394706"/>
    <w:rsid w:val="003A4214"/>
    <w:rsid w:val="003B48E3"/>
    <w:rsid w:val="003B7BA5"/>
    <w:rsid w:val="003C2F29"/>
    <w:rsid w:val="003E7699"/>
    <w:rsid w:val="00401115"/>
    <w:rsid w:val="00427611"/>
    <w:rsid w:val="00446E13"/>
    <w:rsid w:val="00485C71"/>
    <w:rsid w:val="00493B25"/>
    <w:rsid w:val="004955D3"/>
    <w:rsid w:val="0049727F"/>
    <w:rsid w:val="004A3B00"/>
    <w:rsid w:val="004A70C4"/>
    <w:rsid w:val="004E235F"/>
    <w:rsid w:val="004E43E6"/>
    <w:rsid w:val="00516FED"/>
    <w:rsid w:val="005232FF"/>
    <w:rsid w:val="00542B5E"/>
    <w:rsid w:val="00553DA3"/>
    <w:rsid w:val="00582DDD"/>
    <w:rsid w:val="005A56CB"/>
    <w:rsid w:val="005B761F"/>
    <w:rsid w:val="005D227F"/>
    <w:rsid w:val="005D5656"/>
    <w:rsid w:val="005D63A8"/>
    <w:rsid w:val="00622A09"/>
    <w:rsid w:val="00625D1D"/>
    <w:rsid w:val="00631575"/>
    <w:rsid w:val="006320BB"/>
    <w:rsid w:val="00644EFB"/>
    <w:rsid w:val="006F3014"/>
    <w:rsid w:val="00713C06"/>
    <w:rsid w:val="00716FA8"/>
    <w:rsid w:val="0073052C"/>
    <w:rsid w:val="00740A2D"/>
    <w:rsid w:val="00741DDC"/>
    <w:rsid w:val="00757181"/>
    <w:rsid w:val="0079523E"/>
    <w:rsid w:val="0079573E"/>
    <w:rsid w:val="007A73FD"/>
    <w:rsid w:val="007B7C5D"/>
    <w:rsid w:val="007E0333"/>
    <w:rsid w:val="007E2337"/>
    <w:rsid w:val="007F68B6"/>
    <w:rsid w:val="00800397"/>
    <w:rsid w:val="00803C26"/>
    <w:rsid w:val="008252C9"/>
    <w:rsid w:val="00830E66"/>
    <w:rsid w:val="00862C3F"/>
    <w:rsid w:val="008823ED"/>
    <w:rsid w:val="008851F8"/>
    <w:rsid w:val="008C2C86"/>
    <w:rsid w:val="008D6C87"/>
    <w:rsid w:val="008E5EBB"/>
    <w:rsid w:val="008F7F83"/>
    <w:rsid w:val="009055DC"/>
    <w:rsid w:val="009073EE"/>
    <w:rsid w:val="00937CA4"/>
    <w:rsid w:val="009546EB"/>
    <w:rsid w:val="00955639"/>
    <w:rsid w:val="00961622"/>
    <w:rsid w:val="009844EE"/>
    <w:rsid w:val="00990F9E"/>
    <w:rsid w:val="009B7352"/>
    <w:rsid w:val="00A00264"/>
    <w:rsid w:val="00A133B8"/>
    <w:rsid w:val="00A16B72"/>
    <w:rsid w:val="00A61025"/>
    <w:rsid w:val="00A708E0"/>
    <w:rsid w:val="00A81A6B"/>
    <w:rsid w:val="00A96416"/>
    <w:rsid w:val="00AA03B3"/>
    <w:rsid w:val="00AA703F"/>
    <w:rsid w:val="00AA7E80"/>
    <w:rsid w:val="00AC0F1A"/>
    <w:rsid w:val="00AD5E52"/>
    <w:rsid w:val="00AE314D"/>
    <w:rsid w:val="00B11C13"/>
    <w:rsid w:val="00B17BEF"/>
    <w:rsid w:val="00B20DB5"/>
    <w:rsid w:val="00B52436"/>
    <w:rsid w:val="00B53341"/>
    <w:rsid w:val="00B72998"/>
    <w:rsid w:val="00B7728D"/>
    <w:rsid w:val="00B81258"/>
    <w:rsid w:val="00BC3FF0"/>
    <w:rsid w:val="00BE13C9"/>
    <w:rsid w:val="00BE6A28"/>
    <w:rsid w:val="00C062C2"/>
    <w:rsid w:val="00C46C8B"/>
    <w:rsid w:val="00C473BE"/>
    <w:rsid w:val="00C628B3"/>
    <w:rsid w:val="00C734ED"/>
    <w:rsid w:val="00C76967"/>
    <w:rsid w:val="00C8275E"/>
    <w:rsid w:val="00CA2A5E"/>
    <w:rsid w:val="00CA40CA"/>
    <w:rsid w:val="00CE67A1"/>
    <w:rsid w:val="00CE77DE"/>
    <w:rsid w:val="00D268F1"/>
    <w:rsid w:val="00D30F98"/>
    <w:rsid w:val="00D944C8"/>
    <w:rsid w:val="00DC25B6"/>
    <w:rsid w:val="00DD3A80"/>
    <w:rsid w:val="00DD3B5D"/>
    <w:rsid w:val="00DD61CF"/>
    <w:rsid w:val="00DF4C26"/>
    <w:rsid w:val="00E04E84"/>
    <w:rsid w:val="00E31034"/>
    <w:rsid w:val="00E826F4"/>
    <w:rsid w:val="00E864AC"/>
    <w:rsid w:val="00E947D4"/>
    <w:rsid w:val="00E95B8F"/>
    <w:rsid w:val="00EA4CF6"/>
    <w:rsid w:val="00EA55A2"/>
    <w:rsid w:val="00EB3760"/>
    <w:rsid w:val="00EC3A7E"/>
    <w:rsid w:val="00ED4829"/>
    <w:rsid w:val="00EF0DE7"/>
    <w:rsid w:val="00F01190"/>
    <w:rsid w:val="00F16EB3"/>
    <w:rsid w:val="00F226DD"/>
    <w:rsid w:val="00F26369"/>
    <w:rsid w:val="00F345B2"/>
    <w:rsid w:val="00F370F9"/>
    <w:rsid w:val="00F4092E"/>
    <w:rsid w:val="00F457DC"/>
    <w:rsid w:val="00F657BD"/>
    <w:rsid w:val="00F6602D"/>
    <w:rsid w:val="00F70C7B"/>
    <w:rsid w:val="00F815C2"/>
    <w:rsid w:val="00FA63D6"/>
    <w:rsid w:val="00FA70D4"/>
    <w:rsid w:val="00FB059E"/>
    <w:rsid w:val="00FC642D"/>
    <w:rsid w:val="00FE6519"/>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79573E"/>
    <w:pPr>
      <w:outlineLvl w:val="1"/>
    </w:pPr>
    <w:rPr>
      <w:rFonts w:eastAsiaTheme="majorEastAsia"/>
      <w:bCs w:val="0"/>
      <w:noProof/>
      <w:color w:val="385623" w:themeColor="accent6" w:themeShade="80"/>
    </w:rPr>
  </w:style>
  <w:style w:type="paragraph" w:styleId="Heading3">
    <w:name w:val="heading 3"/>
    <w:aliases w:val="3 - Subheading 1"/>
    <w:basedOn w:val="Normal"/>
    <w:next w:val="Normal"/>
    <w:link w:val="Heading3Char"/>
    <w:autoRedefine/>
    <w:uiPriority w:val="9"/>
    <w:unhideWhenUsed/>
    <w:rsid w:val="00401115"/>
    <w:pPr>
      <w:keepNext/>
      <w:keepLines/>
      <w:spacing w:before="40" w:after="0"/>
      <w:ind w:left="360"/>
      <w:outlineLvl w:val="2"/>
    </w:pPr>
    <w:rPr>
      <w:rFonts w:eastAsia="Times New Roman" w:cs="Arial"/>
      <w:b/>
      <w:bCs/>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79573E"/>
    <w:rPr>
      <w:rFonts w:ascii="Arial" w:eastAsiaTheme="majorEastAsia" w:hAnsi="Arial" w:cs="Arial"/>
      <w:bCs/>
      <w:noProof/>
      <w:color w:val="385623" w:themeColor="accent6" w:themeShade="80"/>
      <w:sz w:val="24"/>
      <w:szCs w:val="24"/>
    </w:rPr>
  </w:style>
  <w:style w:type="character" w:customStyle="1" w:styleId="Heading3Char">
    <w:name w:val="Heading 3 Char"/>
    <w:aliases w:val="3 - Subheading 1 Char"/>
    <w:basedOn w:val="DefaultParagraphFont"/>
    <w:link w:val="Heading3"/>
    <w:uiPriority w:val="9"/>
    <w:rsid w:val="00401115"/>
    <w:rPr>
      <w:rFonts w:ascii="Arial" w:eastAsia="Times New Roman" w:hAnsi="Arial" w:cs="Arial"/>
      <w:b/>
      <w:bCs/>
      <w:sz w:val="24"/>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 w:type="paragraph" w:styleId="Revision">
    <w:name w:val="Revision"/>
    <w:hidden/>
    <w:uiPriority w:val="99"/>
    <w:semiHidden/>
    <w:rsid w:val="00241D21"/>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313426"/>
    <w:rPr>
      <w:sz w:val="16"/>
      <w:szCs w:val="16"/>
    </w:rPr>
  </w:style>
  <w:style w:type="paragraph" w:styleId="CommentText">
    <w:name w:val="annotation text"/>
    <w:basedOn w:val="Normal"/>
    <w:link w:val="CommentTextChar"/>
    <w:uiPriority w:val="99"/>
    <w:unhideWhenUsed/>
    <w:rsid w:val="00313426"/>
    <w:pPr>
      <w:spacing w:line="240" w:lineRule="auto"/>
    </w:pPr>
    <w:rPr>
      <w:sz w:val="20"/>
      <w:szCs w:val="20"/>
    </w:rPr>
  </w:style>
  <w:style w:type="character" w:customStyle="1" w:styleId="CommentTextChar">
    <w:name w:val="Comment Text Char"/>
    <w:basedOn w:val="DefaultParagraphFont"/>
    <w:link w:val="CommentText"/>
    <w:uiPriority w:val="99"/>
    <w:rsid w:val="0031342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13426"/>
    <w:rPr>
      <w:b/>
      <w:bCs/>
    </w:rPr>
  </w:style>
  <w:style w:type="character" w:customStyle="1" w:styleId="CommentSubjectChar">
    <w:name w:val="Comment Subject Char"/>
    <w:basedOn w:val="CommentTextChar"/>
    <w:link w:val="CommentSubject"/>
    <w:uiPriority w:val="99"/>
    <w:semiHidden/>
    <w:rsid w:val="00313426"/>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941</Words>
  <Characters>8476</Characters>
  <Application>Microsoft Office Word</Application>
  <DocSecurity>0</DocSecurity>
  <Lines>941</Lines>
  <Paragraphs>941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2021-02-09T15:38:00Z</cp:lastPrinted>
  <dcterms:created xsi:type="dcterms:W3CDTF">2026-04-16T15:43:00Z</dcterms:created>
  <dcterms:modified xsi:type="dcterms:W3CDTF">2026-04-16T19:28:00Z</dcterms:modified>
</cp:coreProperties>
</file>