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53567E77" w14:textId="229E46E3" w:rsidR="00B54BDB" w:rsidRPr="00052B69" w:rsidRDefault="00B54BDB" w:rsidP="00B54BDB">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sidR="005E6DCD" w:rsidRPr="005E6DCD">
        <w:rPr>
          <w:rFonts w:cs="Arial"/>
          <w:bCs/>
          <w:color w:val="000000" w:themeColor="text1"/>
          <w:sz w:val="26"/>
          <w:szCs w:val="26"/>
        </w:rPr>
        <w:t>Special Projects Coordinator</w:t>
      </w:r>
    </w:p>
    <w:p w14:paraId="383E7CCA" w14:textId="46859BD5" w:rsidR="00B54BDB" w:rsidRPr="00052B69" w:rsidRDefault="00B54BDB" w:rsidP="00B54BDB">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005E6DCD" w:rsidRPr="005E6DCD">
        <w:rPr>
          <w:rStyle w:val="Heading2Char"/>
          <w:color w:val="000000" w:themeColor="text1"/>
          <w:sz w:val="26"/>
          <w:szCs w:val="26"/>
        </w:rPr>
        <w:t>X-297</w:t>
      </w:r>
      <w:r w:rsidR="005E6DCD">
        <w:rPr>
          <w:rStyle w:val="Heading2Char"/>
          <w:color w:val="000000" w:themeColor="text1"/>
          <w:sz w:val="26"/>
          <w:szCs w:val="26"/>
        </w:rPr>
        <w:t xml:space="preserve"> </w:t>
      </w:r>
      <w:r w:rsidRPr="00134B1B">
        <w:rPr>
          <w:rStyle w:val="Heading2Char"/>
          <w:color w:val="000000" w:themeColor="text1"/>
          <w:sz w:val="26"/>
          <w:szCs w:val="26"/>
        </w:rPr>
        <w:t xml:space="preserve">| VIP: </w:t>
      </w:r>
      <w:r w:rsidR="005E6DCD" w:rsidRPr="005E6DCD">
        <w:rPr>
          <w:rStyle w:val="Heading2Char"/>
          <w:color w:val="000000" w:themeColor="text1"/>
          <w:sz w:val="26"/>
          <w:szCs w:val="26"/>
        </w:rPr>
        <w:t>1125</w:t>
      </w:r>
      <w:r w:rsidRPr="00134B1B">
        <w:rPr>
          <w:rStyle w:val="Heading2Char"/>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504617E4" w14:textId="004E2C4B" w:rsidR="00B54BDB" w:rsidRPr="00F205C9" w:rsidRDefault="00B54BDB" w:rsidP="00B54BD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Pr>
          <w:rStyle w:val="Heading2Char"/>
          <w:color w:val="000000" w:themeColor="text1"/>
          <w:sz w:val="26"/>
          <w:szCs w:val="26"/>
        </w:rPr>
        <w:t>EXEMPT</w:t>
      </w:r>
      <w:r w:rsidRPr="004E43E6">
        <w:rPr>
          <w:rStyle w:val="Heading2Char"/>
          <w:color w:val="000000" w:themeColor="text1"/>
          <w:sz w:val="26"/>
          <w:szCs w:val="26"/>
        </w:rPr>
        <w:t>-</w:t>
      </w:r>
      <w:r w:rsidR="005E6DCD">
        <w:rPr>
          <w:rStyle w:val="Heading2Char"/>
          <w:color w:val="000000" w:themeColor="text1"/>
          <w:sz w:val="26"/>
          <w:szCs w:val="26"/>
        </w:rPr>
        <w:t>4</w:t>
      </w:r>
      <w:r>
        <w:rPr>
          <w:rStyle w:val="Heading2Char"/>
          <w:b/>
          <w:bCs w:val="0"/>
          <w:color w:val="000000" w:themeColor="text1"/>
          <w:sz w:val="26"/>
          <w:szCs w:val="26"/>
        </w:rPr>
        <w:tab/>
      </w:r>
      <w:r>
        <w:rPr>
          <w:rFonts w:asciiTheme="minorHAnsi" w:hAnsiTheme="minorHAnsi" w:cstheme="minorHAnsi"/>
        </w:rPr>
        <w:tab/>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2C0F5CBF" w14:textId="4EB4FF29" w:rsidR="00B54BDB" w:rsidRPr="00052B69" w:rsidRDefault="00B54BDB" w:rsidP="00B54BDB">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005E6DCD" w:rsidRPr="005E6DCD">
        <w:rPr>
          <w:rFonts w:cs="Arial"/>
          <w:bCs/>
          <w:color w:val="000000" w:themeColor="text1"/>
          <w:sz w:val="26"/>
          <w:szCs w:val="26"/>
        </w:rPr>
        <w:t>Equity and Human Rights Office</w:t>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052B69">
        <w:rPr>
          <w:rFonts w:cs="Arial"/>
          <w:bCs/>
          <w:color w:val="000000" w:themeColor="text1"/>
          <w:sz w:val="26"/>
          <w:szCs w:val="26"/>
        </w:rPr>
        <w:tab/>
      </w:r>
    </w:p>
    <w:p w14:paraId="6465D9D6" w14:textId="0420E86D" w:rsidR="00B54BDB" w:rsidRPr="005277D9" w:rsidRDefault="00B54BDB" w:rsidP="00B54BDB">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Pr>
          <w:rStyle w:val="Heading2Char"/>
          <w:bCs w:val="0"/>
          <w:color w:val="000000" w:themeColor="text1"/>
          <w:sz w:val="26"/>
          <w:szCs w:val="26"/>
        </w:rPr>
        <w:t xml:space="preserve"> </w:t>
      </w:r>
      <w:r>
        <w:rPr>
          <w:rStyle w:val="Heading2Char"/>
          <w:bCs w:val="0"/>
          <w:color w:val="000000" w:themeColor="text1"/>
          <w:sz w:val="26"/>
          <w:szCs w:val="26"/>
        </w:rPr>
        <w:tab/>
      </w:r>
      <w:r w:rsidR="005E6DCD" w:rsidRPr="005E6DCD">
        <w:rPr>
          <w:rStyle w:val="Heading2Char"/>
          <w:bCs w:val="0"/>
          <w:color w:val="000000" w:themeColor="text1"/>
          <w:sz w:val="26"/>
          <w:szCs w:val="26"/>
        </w:rPr>
        <w:t>Director, Equity and Human Rights</w:t>
      </w:r>
    </w:p>
    <w:p w14:paraId="3262C767" w14:textId="5DCBA22C" w:rsidR="00B54BDB" w:rsidRPr="00052B69" w:rsidRDefault="00B54BDB" w:rsidP="00B54BDB">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Pr="00052B69">
        <w:rPr>
          <w:rFonts w:cs="Arial"/>
          <w:sz w:val="26"/>
          <w:szCs w:val="26"/>
        </w:rPr>
        <w:tab/>
      </w:r>
      <w:r w:rsidR="005E6DCD">
        <w:rPr>
          <w:rFonts w:cs="Arial"/>
          <w:sz w:val="26"/>
          <w:szCs w:val="26"/>
        </w:rPr>
        <w:t>November 10,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073BAFF" w14:textId="77777777" w:rsidR="00B54BDB" w:rsidRPr="003B48E3" w:rsidRDefault="00B54BDB" w:rsidP="00B54BDB">
      <w:pPr>
        <w:pStyle w:val="Heading4"/>
        <w:rPr>
          <w:rStyle w:val="Heading4Char"/>
          <w:rFonts w:ascii="Arial" w:hAnsi="Arial" w:cs="Arial"/>
          <w:b/>
          <w:iCs/>
          <w:smallCaps/>
        </w:rPr>
      </w:pPr>
      <w:r w:rsidRPr="003B48E3">
        <w:rPr>
          <w:rStyle w:val="Heading4Char"/>
          <w:rFonts w:ascii="Arial" w:hAnsi="Arial" w:cs="Arial"/>
          <w:b/>
          <w:iCs/>
          <w:smallCaps/>
        </w:rPr>
        <w:t>Job Purpose:</w:t>
      </w:r>
    </w:p>
    <w:p w14:paraId="12D98AA7" w14:textId="2630FBCD" w:rsidR="00B54BDB" w:rsidRPr="002552CC" w:rsidRDefault="00B54BDB" w:rsidP="00B54BDB">
      <w:r>
        <w:t xml:space="preserve">The </w:t>
      </w:r>
      <w:r w:rsidR="005E6DCD" w:rsidRPr="005E6DCD">
        <w:t xml:space="preserve">Special Projects Coordinator supports the Director, Equity and Human Rights by assisting with project coordination, communications, and administrative tasks. </w:t>
      </w:r>
      <w:proofErr w:type="gramStart"/>
      <w:r w:rsidR="005E6DCD" w:rsidRPr="005E6DCD">
        <w:t>The</w:t>
      </w:r>
      <w:proofErr w:type="gramEnd"/>
      <w:r w:rsidR="005E6DCD" w:rsidRPr="005E6DCD">
        <w:t xml:space="preserve"> role helps to implement initiatives that promote human rights, antiracism, and accessibility, including coordinating events, maintaining project documentation, and supporting student volunteers and staff. The </w:t>
      </w:r>
      <w:proofErr w:type="gramStart"/>
      <w:r w:rsidR="005E6DCD" w:rsidRPr="005E6DCD">
        <w:t>Coordinator</w:t>
      </w:r>
      <w:proofErr w:type="gramEnd"/>
      <w:r w:rsidR="005E6DCD" w:rsidRPr="005E6DCD">
        <w:t xml:space="preserve"> also contributes to communication efforts, coordinates digital content, and ensures smooth daily operation of the office</w:t>
      </w:r>
      <w:r>
        <w:t>.</w:t>
      </w:r>
    </w:p>
    <w:p w14:paraId="3EA8DD1E" w14:textId="77777777" w:rsidR="00B54BDB" w:rsidRDefault="00B54BDB" w:rsidP="00B54BDB">
      <w:pPr>
        <w:pStyle w:val="Heading4"/>
        <w:rPr>
          <w:rFonts w:ascii="Arial" w:hAnsi="Arial" w:cs="Arial"/>
        </w:rPr>
      </w:pPr>
      <w:r w:rsidRPr="003B48E3">
        <w:rPr>
          <w:rFonts w:ascii="Arial" w:hAnsi="Arial" w:cs="Arial"/>
        </w:rPr>
        <w:t>Key Activities:</w:t>
      </w:r>
    </w:p>
    <w:p w14:paraId="6F37A76E" w14:textId="1A2E1E53" w:rsidR="00B54BDB" w:rsidRPr="00644EFB" w:rsidRDefault="005E6DCD" w:rsidP="00B54BDB">
      <w:pPr>
        <w:pStyle w:val="Heading5"/>
      </w:pPr>
      <w:r w:rsidRPr="005E6DCD">
        <w:t>Project Coordination</w:t>
      </w:r>
    </w:p>
    <w:p w14:paraId="580F9529" w14:textId="0E9CD4B2" w:rsidR="005E6DCD" w:rsidRDefault="005E6DCD" w:rsidP="005E6DCD">
      <w:pPr>
        <w:pStyle w:val="ListParagraph"/>
        <w:numPr>
          <w:ilvl w:val="0"/>
          <w:numId w:val="28"/>
        </w:numPr>
      </w:pPr>
      <w:r>
        <w:t>Under the direction of the Director, implement projects in the areas of human rights, equity, accessibility and antiracism. Examples of such projects include:</w:t>
      </w:r>
    </w:p>
    <w:p w14:paraId="68DA20A1" w14:textId="77777777" w:rsidR="005E6DCD" w:rsidRDefault="005E6DCD" w:rsidP="005E6DCD">
      <w:pPr>
        <w:pStyle w:val="ListParagraph"/>
        <w:numPr>
          <w:ilvl w:val="1"/>
          <w:numId w:val="28"/>
        </w:numPr>
      </w:pPr>
      <w:r>
        <w:t>Organizing online and in person workshops.</w:t>
      </w:r>
    </w:p>
    <w:p w14:paraId="1322BF6B" w14:textId="77777777" w:rsidR="005E6DCD" w:rsidRDefault="005E6DCD" w:rsidP="005E6DCD">
      <w:pPr>
        <w:pStyle w:val="ListParagraph"/>
        <w:numPr>
          <w:ilvl w:val="1"/>
          <w:numId w:val="28"/>
        </w:numPr>
      </w:pPr>
      <w:r>
        <w:t xml:space="preserve">Creating a safe, inclusive environment for students through information sessions, like tabling. </w:t>
      </w:r>
    </w:p>
    <w:p w14:paraId="37163A2C" w14:textId="77777777" w:rsidR="005E6DCD" w:rsidRDefault="005E6DCD" w:rsidP="005E6DCD">
      <w:pPr>
        <w:pStyle w:val="ListParagraph"/>
        <w:numPr>
          <w:ilvl w:val="1"/>
          <w:numId w:val="28"/>
        </w:numPr>
      </w:pPr>
      <w:r>
        <w:t>Organizing events and campaigns.</w:t>
      </w:r>
    </w:p>
    <w:p w14:paraId="6AC27CB4" w14:textId="77777777" w:rsidR="005E6DCD" w:rsidRDefault="005E6DCD" w:rsidP="005E6DCD">
      <w:pPr>
        <w:pStyle w:val="ListParagraph"/>
        <w:numPr>
          <w:ilvl w:val="1"/>
          <w:numId w:val="28"/>
        </w:numPr>
      </w:pPr>
      <w:r>
        <w:t>Supporting project committees and/or working groups.</w:t>
      </w:r>
    </w:p>
    <w:p w14:paraId="4236F39C" w14:textId="77777777" w:rsidR="005E6DCD" w:rsidRDefault="005E6DCD" w:rsidP="005E6DCD">
      <w:pPr>
        <w:pStyle w:val="ListParagraph"/>
        <w:numPr>
          <w:ilvl w:val="1"/>
          <w:numId w:val="28"/>
        </w:numPr>
      </w:pPr>
      <w:r>
        <w:t xml:space="preserve">Collaborating with community partners. </w:t>
      </w:r>
    </w:p>
    <w:p w14:paraId="512C88EE" w14:textId="77777777" w:rsidR="005E6DCD" w:rsidRDefault="005E6DCD" w:rsidP="005E6DCD">
      <w:pPr>
        <w:pStyle w:val="ListParagraph"/>
        <w:numPr>
          <w:ilvl w:val="0"/>
          <w:numId w:val="28"/>
        </w:numPr>
      </w:pPr>
      <w:r>
        <w:t>Recruit and Train EDIA student staff and volunteers.</w:t>
      </w:r>
    </w:p>
    <w:p w14:paraId="348DE376" w14:textId="77777777" w:rsidR="005E6DCD" w:rsidRDefault="005E6DCD" w:rsidP="005E6DCD">
      <w:pPr>
        <w:pStyle w:val="ListParagraph"/>
        <w:numPr>
          <w:ilvl w:val="0"/>
          <w:numId w:val="28"/>
        </w:numPr>
      </w:pPr>
      <w:r>
        <w:t>Draft project reports as required and maintain all project-related documentation.</w:t>
      </w:r>
    </w:p>
    <w:p w14:paraId="425BE6E8" w14:textId="0FDEC6CC" w:rsidR="005E6DCD" w:rsidRDefault="005E6DCD" w:rsidP="005E6DCD">
      <w:pPr>
        <w:pStyle w:val="ListParagraph"/>
        <w:numPr>
          <w:ilvl w:val="0"/>
          <w:numId w:val="28"/>
        </w:numPr>
      </w:pPr>
      <w:r>
        <w:t xml:space="preserve">Assist the Director in the actionizing the Recommendations of the </w:t>
      </w:r>
      <w:hyperlink r:id="rId9" w:history="1">
        <w:r w:rsidRPr="000127B2">
          <w:rPr>
            <w:rStyle w:val="Hyperlink"/>
            <w:rFonts w:cs="Arial"/>
          </w:rPr>
          <w:t>Antiracism Task Force (ARTF)</w:t>
        </w:r>
      </w:hyperlink>
      <w:r w:rsidRPr="000127B2">
        <w:rPr>
          <w:rFonts w:cs="Arial"/>
        </w:rPr>
        <w:t xml:space="preserve"> and </w:t>
      </w:r>
      <w:hyperlink r:id="rId10" w:history="1">
        <w:r w:rsidRPr="000127B2">
          <w:rPr>
            <w:rStyle w:val="Hyperlink"/>
            <w:rFonts w:cs="Arial"/>
          </w:rPr>
          <w:t>Bill 166</w:t>
        </w:r>
      </w:hyperlink>
      <w:r>
        <w:rPr>
          <w:rFonts w:cs="Arial"/>
        </w:rPr>
        <w:t xml:space="preserve"> </w:t>
      </w:r>
      <w:r>
        <w:t xml:space="preserve">compliance. </w:t>
      </w:r>
    </w:p>
    <w:p w14:paraId="713F28D2" w14:textId="00956C3C" w:rsidR="00B54BDB" w:rsidRPr="003B48E3" w:rsidRDefault="005E6DCD" w:rsidP="00B54BDB">
      <w:pPr>
        <w:pStyle w:val="Heading5"/>
        <w:rPr>
          <w:rFonts w:cs="Arial"/>
        </w:rPr>
      </w:pPr>
      <w:r w:rsidRPr="005E6DCD">
        <w:rPr>
          <w:rFonts w:cs="Arial"/>
        </w:rPr>
        <w:lastRenderedPageBreak/>
        <w:t>Communications</w:t>
      </w:r>
    </w:p>
    <w:p w14:paraId="14E2B7AB" w14:textId="77777777" w:rsidR="005E6DCD" w:rsidRDefault="005E6DCD" w:rsidP="005E6DCD">
      <w:pPr>
        <w:pStyle w:val="ListParagraph"/>
        <w:numPr>
          <w:ilvl w:val="0"/>
          <w:numId w:val="28"/>
        </w:numPr>
      </w:pPr>
      <w:r>
        <w:t xml:space="preserve">Under the direction of the Director, develop and implement a communications strategy for Bill 166 including elements of social, print, and visual media. </w:t>
      </w:r>
    </w:p>
    <w:p w14:paraId="58ACE659" w14:textId="77777777" w:rsidR="005E6DCD" w:rsidRDefault="005E6DCD" w:rsidP="005E6DCD">
      <w:pPr>
        <w:pStyle w:val="ListParagraph"/>
        <w:numPr>
          <w:ilvl w:val="0"/>
          <w:numId w:val="28"/>
        </w:numPr>
      </w:pPr>
      <w:r>
        <w:t xml:space="preserve">Manage EHRO’s website and EDIA blogs. </w:t>
      </w:r>
    </w:p>
    <w:p w14:paraId="1FF1AD62" w14:textId="1176A391" w:rsidR="00B54BDB" w:rsidRPr="003B48E3" w:rsidRDefault="005E6DCD" w:rsidP="00B54BDB">
      <w:pPr>
        <w:pStyle w:val="Heading5"/>
        <w:rPr>
          <w:rFonts w:cs="Arial"/>
        </w:rPr>
      </w:pPr>
      <w:r w:rsidRPr="005E6DCD">
        <w:rPr>
          <w:rFonts w:cs="Arial"/>
        </w:rPr>
        <w:t>Administration</w:t>
      </w:r>
    </w:p>
    <w:p w14:paraId="079AB389" w14:textId="77777777" w:rsidR="005E6DCD" w:rsidRDefault="005E6DCD" w:rsidP="005E6DCD">
      <w:pPr>
        <w:pStyle w:val="ListParagraph"/>
        <w:numPr>
          <w:ilvl w:val="0"/>
          <w:numId w:val="28"/>
        </w:numPr>
      </w:pPr>
      <w:r>
        <w:t>Provide administrative support to the daily operations of the Equity and Human Rights Office including handling correspondence, responding to inquiries, scheduling, and maintaining files and records.</w:t>
      </w:r>
    </w:p>
    <w:p w14:paraId="54E64B9C" w14:textId="77777777" w:rsidR="005E6DCD" w:rsidRDefault="005E6DCD" w:rsidP="005E6DCD">
      <w:pPr>
        <w:pStyle w:val="ListParagraph"/>
        <w:numPr>
          <w:ilvl w:val="0"/>
          <w:numId w:val="28"/>
        </w:numPr>
      </w:pPr>
      <w:proofErr w:type="gramStart"/>
      <w:r>
        <w:t>Assists</w:t>
      </w:r>
      <w:proofErr w:type="gramEnd"/>
      <w:r>
        <w:t xml:space="preserve"> the Director with subcommittee meetings including organizing logistics, follow-ups and minutes.</w:t>
      </w:r>
    </w:p>
    <w:p w14:paraId="47020DD3" w14:textId="77777777" w:rsidR="00B54BDB" w:rsidRPr="003B48E3" w:rsidRDefault="00B54BDB" w:rsidP="00B54BDB">
      <w:pPr>
        <w:pStyle w:val="Heading4"/>
        <w:rPr>
          <w:rFonts w:ascii="Arial" w:hAnsi="Arial" w:cs="Arial"/>
        </w:rPr>
      </w:pPr>
      <w:r w:rsidRPr="003B48E3">
        <w:rPr>
          <w:rFonts w:ascii="Arial" w:hAnsi="Arial" w:cs="Arial"/>
        </w:rPr>
        <w:t>Education Required</w:t>
      </w:r>
      <w:r>
        <w:rPr>
          <w:rFonts w:ascii="Arial" w:hAnsi="Arial" w:cs="Arial"/>
        </w:rPr>
        <w:t>:</w:t>
      </w:r>
    </w:p>
    <w:p w14:paraId="34D92F52" w14:textId="0FBB4585" w:rsidR="00B54BDB" w:rsidRPr="00766A08" w:rsidRDefault="005E6DCD" w:rsidP="00B54BDB">
      <w:pPr>
        <w:pStyle w:val="ListParagraph"/>
        <w:numPr>
          <w:ilvl w:val="0"/>
          <w:numId w:val="28"/>
        </w:numPr>
      </w:pPr>
      <w:r w:rsidRPr="005E6DCD">
        <w:t>General University Degree (3 year) or College Diploma (3 year) required. Specialization in Equity and Human Rights, Communications, Law or another area related to the mandate of the Office is an asset</w:t>
      </w:r>
      <w:r w:rsidR="00B54BDB" w:rsidRPr="00766A08">
        <w:t>.</w:t>
      </w:r>
    </w:p>
    <w:p w14:paraId="604A8D2E" w14:textId="77777777" w:rsidR="00B54BDB" w:rsidRPr="003B48E3" w:rsidRDefault="00B54BDB" w:rsidP="00B54BDB">
      <w:pPr>
        <w:pStyle w:val="Heading4"/>
        <w:rPr>
          <w:rFonts w:ascii="Arial" w:hAnsi="Arial" w:cs="Arial"/>
        </w:rPr>
      </w:pPr>
      <w:r w:rsidRPr="003B48E3">
        <w:rPr>
          <w:rFonts w:ascii="Arial" w:hAnsi="Arial" w:cs="Arial"/>
        </w:rPr>
        <w:t>Experience</w:t>
      </w:r>
      <w:r>
        <w:rPr>
          <w:rFonts w:ascii="Arial" w:hAnsi="Arial" w:cs="Arial"/>
        </w:rPr>
        <w:t>/Qualifications</w:t>
      </w:r>
      <w:r w:rsidRPr="003B48E3">
        <w:rPr>
          <w:rFonts w:ascii="Arial" w:hAnsi="Arial" w:cs="Arial"/>
        </w:rPr>
        <w:t xml:space="preserve"> Required</w:t>
      </w:r>
      <w:r>
        <w:rPr>
          <w:rFonts w:ascii="Arial" w:hAnsi="Arial" w:cs="Arial"/>
        </w:rPr>
        <w:t>:</w:t>
      </w:r>
    </w:p>
    <w:p w14:paraId="70C74AFC" w14:textId="77777777" w:rsidR="005E6DCD" w:rsidRDefault="005E6DCD" w:rsidP="005E6DCD">
      <w:pPr>
        <w:pStyle w:val="ListParagraph"/>
        <w:numPr>
          <w:ilvl w:val="0"/>
          <w:numId w:val="28"/>
        </w:numPr>
      </w:pPr>
      <w:r>
        <w:t>One (1) year of work experience involving project coordination and/or communications.</w:t>
      </w:r>
    </w:p>
    <w:p w14:paraId="28949C76" w14:textId="77777777" w:rsidR="005E6DCD" w:rsidRDefault="005E6DCD" w:rsidP="005E6DCD">
      <w:pPr>
        <w:pStyle w:val="ListParagraph"/>
        <w:numPr>
          <w:ilvl w:val="0"/>
          <w:numId w:val="28"/>
        </w:numPr>
      </w:pPr>
      <w:r>
        <w:t xml:space="preserve">Knowledge and/or experience in the areas of human rights, equity, accessibility and antiracism </w:t>
      </w:r>
      <w:proofErr w:type="gramStart"/>
      <w:r>
        <w:t>an</w:t>
      </w:r>
      <w:proofErr w:type="gramEnd"/>
      <w:r>
        <w:t xml:space="preserve"> asset. </w:t>
      </w:r>
    </w:p>
    <w:p w14:paraId="68431888" w14:textId="77777777" w:rsidR="005E6DCD" w:rsidRDefault="005E6DCD" w:rsidP="005E6DCD">
      <w:pPr>
        <w:pStyle w:val="ListParagraph"/>
        <w:numPr>
          <w:ilvl w:val="0"/>
          <w:numId w:val="28"/>
        </w:numPr>
      </w:pPr>
      <w:r>
        <w:t>Strong interpersonal and communication (written and verbal) skills.</w:t>
      </w:r>
    </w:p>
    <w:p w14:paraId="7111060D" w14:textId="77777777" w:rsidR="005E6DCD" w:rsidRDefault="005E6DCD" w:rsidP="005E6DCD">
      <w:pPr>
        <w:pStyle w:val="ListParagraph"/>
        <w:numPr>
          <w:ilvl w:val="0"/>
          <w:numId w:val="28"/>
        </w:numPr>
      </w:pPr>
      <w:r>
        <w:t>Proven analytical and reasoning skills.</w:t>
      </w:r>
    </w:p>
    <w:p w14:paraId="35220919" w14:textId="77777777" w:rsidR="005E6DCD" w:rsidRDefault="005E6DCD" w:rsidP="005E6DCD">
      <w:pPr>
        <w:pStyle w:val="ListParagraph"/>
        <w:numPr>
          <w:ilvl w:val="0"/>
          <w:numId w:val="28"/>
        </w:numPr>
      </w:pPr>
      <w:r>
        <w:t>Ability to interact well with a diverse group of staff, students, faculty and community members/partners.</w:t>
      </w:r>
    </w:p>
    <w:p w14:paraId="75C3DEF8" w14:textId="77777777" w:rsidR="005E6DCD" w:rsidRDefault="005E6DCD" w:rsidP="005E6DCD">
      <w:pPr>
        <w:pStyle w:val="ListParagraph"/>
        <w:numPr>
          <w:ilvl w:val="0"/>
          <w:numId w:val="28"/>
        </w:numPr>
      </w:pPr>
      <w:r>
        <w:t xml:space="preserve">Technological skills </w:t>
      </w:r>
      <w:proofErr w:type="gramStart"/>
      <w:r>
        <w:t>including</w:t>
      </w:r>
      <w:proofErr w:type="gramEnd"/>
      <w:r>
        <w:t xml:space="preserve"> the ability </w:t>
      </w:r>
      <w:proofErr w:type="gramStart"/>
      <w:r>
        <w:t>to appropriate</w:t>
      </w:r>
      <w:proofErr w:type="gramEnd"/>
      <w:r>
        <w:t xml:space="preserve"> utilize MS Office (Word, Excel, PowerPoint) and update/maintain websites (Drupal 7, HTML5).  </w:t>
      </w:r>
    </w:p>
    <w:p w14:paraId="764DB698" w14:textId="77777777" w:rsidR="005E6DCD" w:rsidRDefault="005E6DCD" w:rsidP="005E6DCD">
      <w:pPr>
        <w:pStyle w:val="ListParagraph"/>
        <w:numPr>
          <w:ilvl w:val="0"/>
          <w:numId w:val="28"/>
        </w:numPr>
      </w:pPr>
      <w:r>
        <w:t>Data management skills and experience working with spreadsheets and databases.</w:t>
      </w:r>
    </w:p>
    <w:p w14:paraId="1E62D1A4" w14:textId="77777777" w:rsidR="005E6DCD" w:rsidRDefault="005E6DCD" w:rsidP="005E6DCD">
      <w:pPr>
        <w:pStyle w:val="ListParagraph"/>
        <w:numPr>
          <w:ilvl w:val="0"/>
          <w:numId w:val="28"/>
        </w:numPr>
      </w:pPr>
      <w:r>
        <w:t>Ability to handle contentious matters with sensitivity, confidentiality and tact.</w:t>
      </w:r>
    </w:p>
    <w:p w14:paraId="6F25AA2B" w14:textId="539721AE" w:rsidR="005E6DCD" w:rsidRPr="005E6DCD" w:rsidRDefault="005E6DCD" w:rsidP="005E6DCD">
      <w:pPr>
        <w:pStyle w:val="Heading4"/>
        <w:rPr>
          <w:rFonts w:ascii="Arial" w:hAnsi="Arial" w:cs="Arial"/>
        </w:rPr>
      </w:pPr>
      <w:r w:rsidRPr="005E6DCD">
        <w:rPr>
          <w:rFonts w:ascii="Arial" w:hAnsi="Arial" w:cs="Arial"/>
        </w:rPr>
        <w:t>Equity, Diversity, Inclusion And Accessibility (</w:t>
      </w:r>
      <w:r>
        <w:rPr>
          <w:rFonts w:ascii="Arial" w:hAnsi="Arial" w:cs="Arial"/>
        </w:rPr>
        <w:t>EDIA</w:t>
      </w:r>
      <w:r w:rsidRPr="005E6DCD">
        <w:rPr>
          <w:rFonts w:ascii="Arial" w:hAnsi="Arial" w:cs="Arial"/>
        </w:rPr>
        <w:t>) Statement</w:t>
      </w:r>
    </w:p>
    <w:p w14:paraId="12FE1960" w14:textId="77777777" w:rsidR="005E6DCD" w:rsidRPr="005E6DCD" w:rsidRDefault="005E6DCD" w:rsidP="005E6DCD">
      <w:r w:rsidRPr="005E6DCD">
        <w:t xml:space="preserve">Trent University aims to provide a safe, accessible, equitable, inclusive campus for everyone. It seeks to address barriers and promote the inclusion of equity deserving groups and encourages applications from Indigenous Peoples, Black and racialized persons, women, persons who are differently abled, and people of diverse sexual and gender identities. We value the lived experience of our candidates. We strive to make our recruitment, assessment and selection processes as accessible as possible and provide </w:t>
      </w:r>
      <w:proofErr w:type="gramStart"/>
      <w:r w:rsidRPr="005E6DCD">
        <w:t>accommodations</w:t>
      </w:r>
      <w:proofErr w:type="gramEnd"/>
      <w:r w:rsidRPr="005E6DCD">
        <w:t xml:space="preserve"> as required for applicants who are differently abled.</w:t>
      </w:r>
    </w:p>
    <w:p w14:paraId="5EF1374E" w14:textId="0D541E93" w:rsidR="00CA2A5E" w:rsidRPr="00B54BDB" w:rsidRDefault="00CA2A5E" w:rsidP="005E6DCD">
      <w:pPr>
        <w:pStyle w:val="Heading4"/>
      </w:pPr>
    </w:p>
    <w:sectPr w:rsidR="00CA2A5E" w:rsidRPr="00B54BDB" w:rsidSect="005D63A8">
      <w:headerReference w:type="default"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B1746EB" w:rsidR="00FA63D6" w:rsidRPr="005D63A8" w:rsidRDefault="00B54BDB"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E6DCD" w:rsidRPr="005E6DCD">
              <w:rPr>
                <w:rFonts w:cs="Arial"/>
                <w:i/>
                <w:iCs/>
                <w:color w:val="808080" w:themeColor="background1" w:themeShade="80"/>
                <w:sz w:val="18"/>
                <w:szCs w:val="18"/>
              </w:rPr>
              <w:t>X-297 | VIP: 1125</w:t>
            </w:r>
            <w:r w:rsidR="00AC0F1A" w:rsidRPr="00AC0F1A">
              <w:rPr>
                <w:rFonts w:cs="Arial"/>
                <w:bCs/>
                <w:color w:val="808080" w:themeColor="background1" w:themeShade="80"/>
                <w:sz w:val="26"/>
                <w:szCs w:val="26"/>
              </w:rPr>
              <w:tab/>
            </w:r>
            <w:r w:rsidR="005D63A8" w:rsidRPr="00AC0F1A">
              <w:rPr>
                <w:rFonts w:cs="Arial"/>
                <w:i/>
                <w:iCs/>
                <w:color w:val="808080" w:themeColor="background1" w:themeShade="80"/>
                <w:sz w:val="18"/>
                <w:szCs w:val="18"/>
              </w:rPr>
              <w:t xml:space="preserve">Page </w:t>
            </w:r>
            <w:r w:rsidR="005D63A8" w:rsidRPr="00AC0F1A">
              <w:rPr>
                <w:rFonts w:cs="Arial"/>
                <w:i/>
                <w:iCs/>
                <w:color w:val="808080" w:themeColor="background1" w:themeShade="80"/>
                <w:sz w:val="18"/>
                <w:szCs w:val="18"/>
              </w:rPr>
              <w:fldChar w:fldCharType="begin"/>
            </w:r>
            <w:r w:rsidR="005D63A8" w:rsidRPr="00AC0F1A">
              <w:rPr>
                <w:rFonts w:cs="Arial"/>
                <w:i/>
                <w:iCs/>
                <w:color w:val="808080" w:themeColor="background1" w:themeShade="80"/>
                <w:sz w:val="18"/>
                <w:szCs w:val="18"/>
              </w:rPr>
              <w:instrText xml:space="preserve"> PAGE  \* Arabic  \* MERGEFORMAT </w:instrText>
            </w:r>
            <w:r w:rsidR="005D63A8"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005D63A8" w:rsidRPr="00AC0F1A">
              <w:rPr>
                <w:rFonts w:cs="Arial"/>
                <w:i/>
                <w:iCs/>
                <w:color w:val="808080" w:themeColor="background1" w:themeShade="80"/>
                <w:sz w:val="18"/>
                <w:szCs w:val="18"/>
              </w:rPr>
              <w:fldChar w:fldCharType="end"/>
            </w:r>
            <w:r w:rsidR="005D63A8" w:rsidRPr="00AC0F1A">
              <w:rPr>
                <w:rFonts w:cs="Arial"/>
                <w:i/>
                <w:iCs/>
                <w:color w:val="808080" w:themeColor="background1" w:themeShade="80"/>
                <w:sz w:val="18"/>
                <w:szCs w:val="18"/>
              </w:rPr>
              <w:t xml:space="preserve"> of </w:t>
            </w:r>
            <w:r w:rsidR="005D63A8" w:rsidRPr="00AC0F1A">
              <w:rPr>
                <w:rFonts w:cs="Arial"/>
                <w:i/>
                <w:iCs/>
                <w:color w:val="808080" w:themeColor="background1" w:themeShade="80"/>
                <w:sz w:val="18"/>
                <w:szCs w:val="18"/>
              </w:rPr>
              <w:fldChar w:fldCharType="begin"/>
            </w:r>
            <w:r w:rsidR="005D63A8" w:rsidRPr="00AC0F1A">
              <w:rPr>
                <w:rFonts w:cs="Arial"/>
                <w:i/>
                <w:iCs/>
                <w:color w:val="808080" w:themeColor="background1" w:themeShade="80"/>
                <w:sz w:val="18"/>
                <w:szCs w:val="18"/>
              </w:rPr>
              <w:instrText xml:space="preserve"> NUMPAGES  \* Arabic  \* MERGEFORMAT </w:instrText>
            </w:r>
            <w:r w:rsidR="005D63A8"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005D63A8"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005D63A8" w:rsidRPr="00AC0F1A">
              <w:rPr>
                <w:rFonts w:cs="Arial"/>
                <w:i/>
                <w:iCs/>
                <w:color w:val="808080" w:themeColor="background1" w:themeShade="80"/>
                <w:sz w:val="18"/>
                <w:szCs w:val="18"/>
              </w:rPr>
              <w:t xml:space="preserve">Last Edited: </w:t>
            </w:r>
            <w:r w:rsidR="005E6DCD">
              <w:rPr>
                <w:rFonts w:cs="Arial"/>
                <w:i/>
                <w:iCs/>
                <w:color w:val="808080" w:themeColor="background1" w:themeShade="80"/>
                <w:sz w:val="18"/>
                <w:szCs w:val="18"/>
              </w:rPr>
              <w:t>November 12</w:t>
            </w:r>
            <w:r w:rsidR="00890D55" w:rsidRPr="00890D55">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563CF"/>
    <w:rsid w:val="00183F8C"/>
    <w:rsid w:val="00187810"/>
    <w:rsid w:val="00190B43"/>
    <w:rsid w:val="001E6A32"/>
    <w:rsid w:val="002246D4"/>
    <w:rsid w:val="00242A13"/>
    <w:rsid w:val="002615EA"/>
    <w:rsid w:val="00304028"/>
    <w:rsid w:val="003269FB"/>
    <w:rsid w:val="00341566"/>
    <w:rsid w:val="003A4214"/>
    <w:rsid w:val="003B48E3"/>
    <w:rsid w:val="003B7BA5"/>
    <w:rsid w:val="003C2F29"/>
    <w:rsid w:val="0044043C"/>
    <w:rsid w:val="00446E13"/>
    <w:rsid w:val="00485C71"/>
    <w:rsid w:val="0049727F"/>
    <w:rsid w:val="004A3B00"/>
    <w:rsid w:val="004E235F"/>
    <w:rsid w:val="004E43E6"/>
    <w:rsid w:val="004E5747"/>
    <w:rsid w:val="00516FED"/>
    <w:rsid w:val="005232FF"/>
    <w:rsid w:val="005277D9"/>
    <w:rsid w:val="00542B5E"/>
    <w:rsid w:val="00553DA3"/>
    <w:rsid w:val="00582DDD"/>
    <w:rsid w:val="005A56CB"/>
    <w:rsid w:val="005D63A8"/>
    <w:rsid w:val="005E6DCD"/>
    <w:rsid w:val="00622A09"/>
    <w:rsid w:val="00625D1D"/>
    <w:rsid w:val="00631575"/>
    <w:rsid w:val="006320BB"/>
    <w:rsid w:val="00644EFB"/>
    <w:rsid w:val="006D25BA"/>
    <w:rsid w:val="006F3014"/>
    <w:rsid w:val="00716FA8"/>
    <w:rsid w:val="00741DDC"/>
    <w:rsid w:val="00761FC4"/>
    <w:rsid w:val="0079523E"/>
    <w:rsid w:val="007A73FD"/>
    <w:rsid w:val="007B7C5D"/>
    <w:rsid w:val="008252C9"/>
    <w:rsid w:val="00830E66"/>
    <w:rsid w:val="00862C3F"/>
    <w:rsid w:val="008823ED"/>
    <w:rsid w:val="00890D55"/>
    <w:rsid w:val="008C2C86"/>
    <w:rsid w:val="008D6C87"/>
    <w:rsid w:val="008E5EBB"/>
    <w:rsid w:val="008F7F83"/>
    <w:rsid w:val="009055DC"/>
    <w:rsid w:val="009242F6"/>
    <w:rsid w:val="00937CA4"/>
    <w:rsid w:val="00961622"/>
    <w:rsid w:val="00990F9E"/>
    <w:rsid w:val="00994C28"/>
    <w:rsid w:val="00A133B8"/>
    <w:rsid w:val="00A81A6B"/>
    <w:rsid w:val="00A96416"/>
    <w:rsid w:val="00AA03B3"/>
    <w:rsid w:val="00AA7E80"/>
    <w:rsid w:val="00AC0F1A"/>
    <w:rsid w:val="00AE314D"/>
    <w:rsid w:val="00B06015"/>
    <w:rsid w:val="00B20DB5"/>
    <w:rsid w:val="00B52436"/>
    <w:rsid w:val="00B54BDB"/>
    <w:rsid w:val="00B72998"/>
    <w:rsid w:val="00B7728D"/>
    <w:rsid w:val="00B81258"/>
    <w:rsid w:val="00BC3FF0"/>
    <w:rsid w:val="00C24273"/>
    <w:rsid w:val="00C52CAF"/>
    <w:rsid w:val="00C628B3"/>
    <w:rsid w:val="00C734ED"/>
    <w:rsid w:val="00C76967"/>
    <w:rsid w:val="00C8275E"/>
    <w:rsid w:val="00CA2A5E"/>
    <w:rsid w:val="00CA40CA"/>
    <w:rsid w:val="00CA75E3"/>
    <w:rsid w:val="00CC3798"/>
    <w:rsid w:val="00CE67A1"/>
    <w:rsid w:val="00CE77DE"/>
    <w:rsid w:val="00D02F5A"/>
    <w:rsid w:val="00D268F1"/>
    <w:rsid w:val="00D43D42"/>
    <w:rsid w:val="00DD2585"/>
    <w:rsid w:val="00DD3A80"/>
    <w:rsid w:val="00DD61CF"/>
    <w:rsid w:val="00DF4C26"/>
    <w:rsid w:val="00E250BA"/>
    <w:rsid w:val="00E31034"/>
    <w:rsid w:val="00E864AC"/>
    <w:rsid w:val="00E947D4"/>
    <w:rsid w:val="00E95B8F"/>
    <w:rsid w:val="00EA4CF6"/>
    <w:rsid w:val="00EA55A2"/>
    <w:rsid w:val="00ED4829"/>
    <w:rsid w:val="00EF0DE7"/>
    <w:rsid w:val="00F01190"/>
    <w:rsid w:val="00F205C9"/>
    <w:rsid w:val="00F370F9"/>
    <w:rsid w:val="00F457DC"/>
    <w:rsid w:val="00F657BD"/>
    <w:rsid w:val="00F8031C"/>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Hyperlink">
    <w:name w:val="Hyperlink"/>
    <w:basedOn w:val="DefaultParagraphFont"/>
    <w:rsid w:val="005E6DCD"/>
    <w:rPr>
      <w:color w:val="0563C1" w:themeColor="hyperlink"/>
      <w:u w:val="single"/>
    </w:rPr>
  </w:style>
  <w:style w:type="paragraph" w:styleId="NormalWeb">
    <w:name w:val="Normal (Web)"/>
    <w:basedOn w:val="Normal"/>
    <w:uiPriority w:val="99"/>
    <w:semiHidden/>
    <w:unhideWhenUsed/>
    <w:rsid w:val="005E6DCD"/>
    <w:pPr>
      <w:spacing w:before="100" w:beforeAutospacing="1" w:after="100" w:afterAutospacing="1" w:line="240" w:lineRule="auto"/>
    </w:pPr>
    <w:rPr>
      <w:rFonts w:ascii="Times New Roman" w:eastAsia="Times New Roman" w:hAnsi="Times New Roman" w:cs="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45850">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la.org/en/legislative-business/bills/parliament-43/session-1/bill-166" TargetMode="External"/><Relationship Id="rId4" Type="http://schemas.openxmlformats.org/officeDocument/2006/relationships/settings" Target="settings.xml"/><Relationship Id="rId9" Type="http://schemas.openxmlformats.org/officeDocument/2006/relationships/hyperlink" Target="https://www.trentu.ca/vpacademic/sites/trentu.ca.vpacademic/files/documents/ARTF%20Report%20and%20Recommendations%20January%2018%202022%20Final%20-%20AOD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2025-11-12T22:15:00Z</dcterms:created>
  <dcterms:modified xsi:type="dcterms:W3CDTF">2025-11-19T15:18:00Z</dcterms:modified>
</cp:coreProperties>
</file>