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810" w:rsidRDefault="00504810" w:rsidP="00504810">
      <w:pPr>
        <w:widowControl w:val="0"/>
        <w:numPr>
          <w:ilvl w:val="0"/>
          <w:numId w:val="3"/>
        </w:numPr>
        <w:tabs>
          <w:tab w:val="left" w:pos="0"/>
          <w:tab w:val="left" w:pos="540"/>
        </w:tabs>
        <w:suppressAutoHyphens/>
        <w:spacing w:after="0" w:line="240" w:lineRule="auto"/>
        <w:jc w:val="both"/>
        <w:rPr>
          <w:rFonts w:ascii="Times New Roman" w:hAnsi="Times New Roman"/>
          <w:b/>
          <w:spacing w:val="-3"/>
          <w:sz w:val="24"/>
          <w:lang w:val="en-GB"/>
        </w:rPr>
      </w:pPr>
      <w:r>
        <w:rPr>
          <w:rFonts w:ascii="Times New Roman" w:hAnsi="Times New Roman"/>
          <w:b/>
          <w:spacing w:val="-3"/>
          <w:sz w:val="24"/>
          <w:lang w:val="en-GB"/>
        </w:rPr>
        <w:t>Termination</w:t>
      </w:r>
      <w:bookmarkStart w:id="0" w:name="_GoBack"/>
      <w:bookmarkEnd w:id="0"/>
    </w:p>
    <w:p w:rsidR="00504810" w:rsidRDefault="00504810" w:rsidP="00504810">
      <w:pPr>
        <w:tabs>
          <w:tab w:val="left" w:pos="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Termination from the University is defined as the end of service of the employee.  Employees will not be terminated except in one of the following ways:</w:t>
      </w:r>
    </w:p>
    <w:p w:rsidR="00504810" w:rsidRDefault="00504810" w:rsidP="00504810">
      <w:pPr>
        <w:widowControl w:val="0"/>
        <w:numPr>
          <w:ilvl w:val="0"/>
          <w:numId w:val="2"/>
        </w:numPr>
        <w:tabs>
          <w:tab w:val="left" w:pos="0"/>
          <w:tab w:val="left" w:pos="720"/>
          <w:tab w:val="left" w:pos="1440"/>
          <w:tab w:val="left" w:pos="2400"/>
          <w:tab w:val="left" w:pos="5400"/>
          <w:tab w:val="left" w:pos="576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Retirement</w:t>
      </w:r>
    </w:p>
    <w:p w:rsidR="00504810"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Resignation</w:t>
      </w:r>
    </w:p>
    <w:p w:rsidR="00504810" w:rsidRPr="00DD002D"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sidRPr="00DD002D">
        <w:rPr>
          <w:rFonts w:ascii="Times New Roman" w:hAnsi="Times New Roman"/>
          <w:spacing w:val="-3"/>
          <w:sz w:val="24"/>
          <w:lang w:val="en-GB"/>
        </w:rPr>
        <w:t>Failure to satisfactorily complete the probationary period</w:t>
      </w:r>
    </w:p>
    <w:p w:rsidR="00504810"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Dismissal for cause</w:t>
      </w:r>
    </w:p>
    <w:p w:rsidR="00504810" w:rsidRPr="00DD002D"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Dismissal without cause</w:t>
      </w:r>
    </w:p>
    <w:p w:rsidR="00504810" w:rsidRDefault="00504810" w:rsidP="00504810">
      <w:pPr>
        <w:widowControl w:val="0"/>
        <w:numPr>
          <w:ilvl w:val="0"/>
          <w:numId w:val="2"/>
        </w:numPr>
        <w:tabs>
          <w:tab w:val="left" w:pos="0"/>
          <w:tab w:val="left" w:pos="72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 xml:space="preserve">Illness or disability in excess of six months and which is not covered by LTD or WSIB </w:t>
      </w:r>
    </w:p>
    <w:p w:rsidR="00504810"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Death</w:t>
      </w:r>
    </w:p>
    <w:p w:rsidR="00504810" w:rsidRPr="00DD002D"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spacing w:val="-3"/>
          <w:sz w:val="24"/>
          <w:lang w:val="en-GB"/>
        </w:rPr>
        <w:t>Completion of contracted or casual employment</w:t>
      </w:r>
    </w:p>
    <w:p w:rsidR="00504810" w:rsidRPr="00DD002D" w:rsidRDefault="00504810" w:rsidP="00504810">
      <w:pPr>
        <w:widowControl w:val="0"/>
        <w:numPr>
          <w:ilvl w:val="0"/>
          <w:numId w:val="2"/>
        </w:numPr>
        <w:tabs>
          <w:tab w:val="left" w:pos="0"/>
        </w:tabs>
        <w:suppressAutoHyphens/>
        <w:spacing w:after="0" w:line="240" w:lineRule="auto"/>
        <w:jc w:val="both"/>
        <w:rPr>
          <w:rFonts w:ascii="Times New Roman" w:hAnsi="Times New Roman"/>
          <w:spacing w:val="-3"/>
          <w:sz w:val="24"/>
          <w:lang w:val="en-GB"/>
        </w:rPr>
      </w:pPr>
      <w:r w:rsidRPr="00DD002D">
        <w:rPr>
          <w:rFonts w:ascii="Times New Roman" w:hAnsi="Times New Roman"/>
          <w:spacing w:val="-3"/>
          <w:sz w:val="24"/>
          <w:lang w:val="en-GB"/>
        </w:rPr>
        <w:t>Restructuring/Redundancy</w:t>
      </w:r>
    </w:p>
    <w:p w:rsidR="00504810" w:rsidRDefault="00504810" w:rsidP="00504810">
      <w:pPr>
        <w:tabs>
          <w:tab w:val="left" w:pos="0"/>
        </w:tabs>
        <w:suppressAutoHyphens/>
        <w:jc w:val="both"/>
        <w:rPr>
          <w:rFonts w:ascii="Times New Roman" w:hAnsi="Times New Roman"/>
          <w:spacing w:val="-3"/>
          <w:sz w:val="24"/>
          <w:lang w:val="en-GB"/>
        </w:rPr>
      </w:pPr>
    </w:p>
    <w:p w:rsidR="00504810" w:rsidRPr="00245E5E" w:rsidRDefault="00504810" w:rsidP="00504810">
      <w:pPr>
        <w:widowControl w:val="0"/>
        <w:numPr>
          <w:ilvl w:val="0"/>
          <w:numId w:val="3"/>
        </w:numPr>
        <w:tabs>
          <w:tab w:val="left" w:pos="0"/>
        </w:tabs>
        <w:suppressAutoHyphens/>
        <w:spacing w:after="0" w:line="240" w:lineRule="auto"/>
        <w:jc w:val="both"/>
        <w:rPr>
          <w:rFonts w:ascii="Times New Roman" w:hAnsi="Times New Roman"/>
          <w:spacing w:val="-3"/>
          <w:sz w:val="24"/>
          <w:lang w:val="en-GB"/>
        </w:rPr>
      </w:pPr>
      <w:r w:rsidRPr="00245E5E">
        <w:rPr>
          <w:rFonts w:ascii="Times New Roman" w:hAnsi="Times New Roman"/>
          <w:b/>
          <w:spacing w:val="-3"/>
          <w:sz w:val="24"/>
          <w:lang w:val="en-GB"/>
        </w:rPr>
        <w:t>Retirement</w:t>
      </w:r>
    </w:p>
    <w:p w:rsidR="00504810" w:rsidRDefault="00504810" w:rsidP="00504810">
      <w:pPr>
        <w:tabs>
          <w:tab w:val="left" w:pos="0"/>
        </w:tabs>
        <w:suppressAutoHyphens/>
        <w:ind w:left="720" w:hanging="720"/>
        <w:jc w:val="both"/>
        <w:rPr>
          <w:rFonts w:ascii="Times New Roman" w:hAnsi="Times New Roman"/>
          <w:spacing w:val="-3"/>
          <w:sz w:val="24"/>
        </w:rPr>
      </w:pPr>
      <w:r w:rsidRPr="00245E5E">
        <w:rPr>
          <w:rFonts w:ascii="Times New Roman" w:hAnsi="Times New Roman"/>
          <w:spacing w:val="-3"/>
          <w:sz w:val="24"/>
          <w:lang w:val="en-GB"/>
        </w:rPr>
        <w:tab/>
      </w:r>
      <w:r w:rsidRPr="00DF4DBB">
        <w:rPr>
          <w:rFonts w:ascii="Times New Roman" w:hAnsi="Times New Roman"/>
          <w:spacing w:val="-3"/>
          <w:sz w:val="24"/>
        </w:rPr>
        <w:t xml:space="preserve">Your Normal Retirement Date is the first day of the month coincident or next following attainment of age 65. Your Early Retirement Date is the first day of any month coincident or next following attainment of age 55. Your Unreduced Early Retirement Date is the first day of the month coincident or next following the date that you have both attained; </w:t>
      </w:r>
    </w:p>
    <w:p w:rsidR="00504810" w:rsidRDefault="00504810" w:rsidP="00504810">
      <w:pPr>
        <w:widowControl w:val="0"/>
        <w:numPr>
          <w:ilvl w:val="0"/>
          <w:numId w:val="1"/>
        </w:numPr>
        <w:tabs>
          <w:tab w:val="left" w:pos="0"/>
          <w:tab w:val="left" w:pos="1800"/>
        </w:tabs>
        <w:suppressAutoHyphens/>
        <w:spacing w:after="0" w:line="240" w:lineRule="auto"/>
        <w:jc w:val="both"/>
        <w:rPr>
          <w:rFonts w:ascii="Times New Roman" w:hAnsi="Times New Roman"/>
          <w:spacing w:val="-3"/>
          <w:sz w:val="24"/>
        </w:rPr>
      </w:pPr>
      <w:r w:rsidRPr="00DF4DBB">
        <w:rPr>
          <w:rFonts w:ascii="Times New Roman" w:hAnsi="Times New Roman"/>
          <w:spacing w:val="-3"/>
          <w:sz w:val="24"/>
        </w:rPr>
        <w:t>Age 60 and you are within 10 years of your Normal Retirement Date before June 30, 2017 and the sum of you age and continuous service while a member of the plan equals or exceeds 80; or</w:t>
      </w:r>
    </w:p>
    <w:p w:rsidR="00504810" w:rsidRDefault="00504810" w:rsidP="00504810">
      <w:pPr>
        <w:widowControl w:val="0"/>
        <w:numPr>
          <w:ilvl w:val="0"/>
          <w:numId w:val="1"/>
        </w:numPr>
        <w:tabs>
          <w:tab w:val="left" w:pos="0"/>
          <w:tab w:val="left" w:pos="1800"/>
        </w:tabs>
        <w:suppressAutoHyphens/>
        <w:spacing w:after="0" w:line="240" w:lineRule="auto"/>
        <w:jc w:val="both"/>
        <w:rPr>
          <w:rFonts w:ascii="Times New Roman" w:hAnsi="Times New Roman"/>
          <w:spacing w:val="-3"/>
          <w:sz w:val="24"/>
        </w:rPr>
      </w:pPr>
      <w:r w:rsidRPr="00DF4DBB">
        <w:rPr>
          <w:rFonts w:ascii="Times New Roman" w:hAnsi="Times New Roman"/>
          <w:spacing w:val="-3"/>
          <w:sz w:val="24"/>
        </w:rPr>
        <w:t>Age 62 and you are not within 10 years of your Normal Retirement Date as at June 30, 2017 and the sum of you age and continuous service while a member of the plan equals or exceeds 80.</w:t>
      </w:r>
    </w:p>
    <w:p w:rsidR="00504810" w:rsidRDefault="00504810" w:rsidP="00504810">
      <w:pPr>
        <w:tabs>
          <w:tab w:val="left" w:pos="0"/>
        </w:tabs>
        <w:suppressAutoHyphens/>
        <w:ind w:left="720"/>
        <w:jc w:val="both"/>
        <w:rPr>
          <w:rFonts w:ascii="Times New Roman" w:hAnsi="Times New Roman"/>
          <w:spacing w:val="-3"/>
          <w:sz w:val="24"/>
          <w:lang w:val="en-GB"/>
        </w:rPr>
      </w:pPr>
      <w:r w:rsidRPr="00E550C9">
        <w:rPr>
          <w:rFonts w:ascii="Times New Roman" w:hAnsi="Times New Roman"/>
          <w:spacing w:val="-3"/>
          <w:sz w:val="24"/>
          <w:lang w:val="en-GB"/>
        </w:rPr>
        <w:t>Your Postponed Retirement Date means retirement after age 65. If you</w:t>
      </w:r>
      <w:r>
        <w:rPr>
          <w:rFonts w:ascii="Times New Roman" w:hAnsi="Times New Roman"/>
          <w:spacing w:val="-3"/>
          <w:sz w:val="24"/>
          <w:lang w:val="en-GB"/>
        </w:rPr>
        <w:t xml:space="preserve"> </w:t>
      </w:r>
      <w:r w:rsidRPr="00E550C9">
        <w:rPr>
          <w:rFonts w:ascii="Times New Roman" w:hAnsi="Times New Roman"/>
          <w:spacing w:val="-3"/>
          <w:sz w:val="24"/>
          <w:lang w:val="en-GB"/>
        </w:rPr>
        <w:t>remain in active employment after age 65, you must start drawing your</w:t>
      </w:r>
      <w:r>
        <w:rPr>
          <w:rFonts w:ascii="Times New Roman" w:hAnsi="Times New Roman"/>
          <w:spacing w:val="-3"/>
          <w:sz w:val="24"/>
          <w:lang w:val="en-GB"/>
        </w:rPr>
        <w:t xml:space="preserve"> </w:t>
      </w:r>
      <w:r w:rsidRPr="00E550C9">
        <w:rPr>
          <w:rFonts w:ascii="Times New Roman" w:hAnsi="Times New Roman"/>
          <w:spacing w:val="-3"/>
          <w:sz w:val="24"/>
          <w:lang w:val="en-GB"/>
        </w:rPr>
        <w:t>pension by December 1 of the year in which you reach age 71, whether or</w:t>
      </w:r>
      <w:r>
        <w:rPr>
          <w:rFonts w:ascii="Times New Roman" w:hAnsi="Times New Roman"/>
          <w:spacing w:val="-3"/>
          <w:sz w:val="24"/>
          <w:lang w:val="en-GB"/>
        </w:rPr>
        <w:t xml:space="preserve"> </w:t>
      </w:r>
      <w:r w:rsidRPr="00E550C9">
        <w:rPr>
          <w:rFonts w:ascii="Times New Roman" w:hAnsi="Times New Roman"/>
          <w:spacing w:val="-3"/>
          <w:sz w:val="24"/>
          <w:lang w:val="en-GB"/>
        </w:rPr>
        <w:t>not you actually retire from active employment.</w:t>
      </w:r>
      <w:r>
        <w:rPr>
          <w:rFonts w:ascii="Times New Roman" w:hAnsi="Times New Roman"/>
          <w:spacing w:val="-3"/>
          <w:sz w:val="24"/>
          <w:lang w:val="en-GB"/>
        </w:rPr>
        <w:t xml:space="preserve"> </w:t>
      </w:r>
    </w:p>
    <w:p w:rsidR="00504810" w:rsidRDefault="00504810" w:rsidP="00504810">
      <w:pPr>
        <w:tabs>
          <w:tab w:val="left" w:pos="0"/>
        </w:tabs>
        <w:suppressAutoHyphens/>
        <w:jc w:val="both"/>
        <w:rPr>
          <w:rFonts w:ascii="Times New Roman" w:hAnsi="Times New Roman"/>
          <w:spacing w:val="-3"/>
          <w:sz w:val="24"/>
          <w:lang w:val="en-GB"/>
        </w:rPr>
      </w:pPr>
    </w:p>
    <w:p w:rsidR="00504810" w:rsidRDefault="00504810" w:rsidP="00504810">
      <w:pPr>
        <w:widowControl w:val="0"/>
        <w:numPr>
          <w:ilvl w:val="0"/>
          <w:numId w:val="3"/>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b/>
          <w:spacing w:val="-3"/>
          <w:sz w:val="24"/>
          <w:lang w:val="en-GB"/>
        </w:rPr>
        <w:t>Resignation</w:t>
      </w:r>
    </w:p>
    <w:p w:rsidR="00504810" w:rsidRDefault="00504810" w:rsidP="00504810">
      <w:pPr>
        <w:tabs>
          <w:tab w:val="left" w:pos="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 xml:space="preserve">Employees are requested to provide as much notice as is possible in the event of resignation. </w:t>
      </w:r>
    </w:p>
    <w:p w:rsidR="00504810" w:rsidRDefault="00504810" w:rsidP="00504810">
      <w:pPr>
        <w:tabs>
          <w:tab w:val="left" w:pos="0"/>
        </w:tabs>
        <w:suppressAutoHyphens/>
        <w:jc w:val="both"/>
        <w:rPr>
          <w:rFonts w:ascii="Times New Roman" w:hAnsi="Times New Roman"/>
          <w:spacing w:val="-3"/>
          <w:sz w:val="24"/>
          <w:lang w:val="en-GB"/>
        </w:rPr>
      </w:pPr>
    </w:p>
    <w:p w:rsidR="00504810" w:rsidRDefault="00504810" w:rsidP="00504810">
      <w:pPr>
        <w:widowControl w:val="0"/>
        <w:numPr>
          <w:ilvl w:val="0"/>
          <w:numId w:val="3"/>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b/>
          <w:spacing w:val="-3"/>
          <w:sz w:val="24"/>
          <w:lang w:val="en-GB"/>
        </w:rPr>
        <w:t>Death</w:t>
      </w:r>
    </w:p>
    <w:p w:rsidR="00504810" w:rsidRDefault="00504810" w:rsidP="00504810">
      <w:pPr>
        <w:tabs>
          <w:tab w:val="left" w:pos="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When an employee dies in service, the estate will receive salary payments to the end of the month following the month in which the death occurs plus vacation pay accrued up to the date of death.  The Department of Human Resources will initiate action on such matters as the Trent Pension Plan and Life Insurance.  Coverage for dependants in semi-private, extended health and dental plans terminates the last day of the third month following the month in which the death occurs as long as the dependents continue to meet eligibility requirements.</w:t>
      </w:r>
    </w:p>
    <w:p w:rsidR="00504810" w:rsidRDefault="00504810" w:rsidP="00504810">
      <w:pPr>
        <w:tabs>
          <w:tab w:val="left" w:pos="0"/>
        </w:tabs>
        <w:suppressAutoHyphens/>
        <w:jc w:val="both"/>
        <w:rPr>
          <w:rFonts w:ascii="Times New Roman" w:hAnsi="Times New Roman"/>
          <w:spacing w:val="-3"/>
          <w:sz w:val="24"/>
          <w:lang w:val="en-GB"/>
        </w:rPr>
      </w:pPr>
    </w:p>
    <w:p w:rsidR="00504810" w:rsidRDefault="00177D9E" w:rsidP="00504810">
      <w:pPr>
        <w:widowControl w:val="0"/>
        <w:numPr>
          <w:ilvl w:val="0"/>
          <w:numId w:val="3"/>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b/>
          <w:spacing w:val="-3"/>
          <w:sz w:val="24"/>
          <w:lang w:val="en-GB"/>
        </w:rPr>
        <w:t>End</w:t>
      </w:r>
      <w:r w:rsidR="00504810">
        <w:rPr>
          <w:rFonts w:ascii="Times New Roman" w:hAnsi="Times New Roman"/>
          <w:b/>
          <w:spacing w:val="-3"/>
          <w:sz w:val="24"/>
          <w:lang w:val="en-GB"/>
        </w:rPr>
        <w:t xml:space="preserve"> of Contract Employment</w:t>
      </w:r>
    </w:p>
    <w:p w:rsidR="00504810" w:rsidRDefault="00504810" w:rsidP="00504810">
      <w:pPr>
        <w:tabs>
          <w:tab w:val="left" w:pos="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 xml:space="preserve">The employment of contract employees can be terminated in accordance with the terms of the individual contract for employment.  </w:t>
      </w:r>
    </w:p>
    <w:p w:rsidR="00504810" w:rsidRDefault="00504810" w:rsidP="00504810">
      <w:pPr>
        <w:tabs>
          <w:tab w:val="left" w:pos="0"/>
        </w:tabs>
        <w:suppressAutoHyphens/>
        <w:jc w:val="both"/>
        <w:rPr>
          <w:rFonts w:ascii="Times New Roman" w:hAnsi="Times New Roman"/>
          <w:b/>
          <w:spacing w:val="-3"/>
          <w:sz w:val="24"/>
          <w:lang w:val="en-GB"/>
        </w:rPr>
      </w:pPr>
    </w:p>
    <w:p w:rsidR="00504810" w:rsidRDefault="00504810" w:rsidP="00504810">
      <w:pPr>
        <w:widowControl w:val="0"/>
        <w:numPr>
          <w:ilvl w:val="0"/>
          <w:numId w:val="3"/>
        </w:numPr>
        <w:tabs>
          <w:tab w:val="left" w:pos="0"/>
        </w:tabs>
        <w:suppressAutoHyphens/>
        <w:spacing w:after="0" w:line="240" w:lineRule="auto"/>
        <w:jc w:val="both"/>
        <w:rPr>
          <w:rFonts w:ascii="Times New Roman" w:hAnsi="Times New Roman"/>
          <w:spacing w:val="-3"/>
          <w:sz w:val="24"/>
          <w:lang w:val="en-GB"/>
        </w:rPr>
      </w:pPr>
      <w:r>
        <w:rPr>
          <w:rFonts w:ascii="Times New Roman" w:hAnsi="Times New Roman"/>
          <w:b/>
          <w:spacing w:val="-3"/>
          <w:sz w:val="24"/>
          <w:lang w:val="en-GB"/>
        </w:rPr>
        <w:t>Severance Pay on Termination</w:t>
      </w:r>
    </w:p>
    <w:p w:rsidR="00504810" w:rsidRDefault="00504810" w:rsidP="00504810">
      <w:pPr>
        <w:tabs>
          <w:tab w:val="left" w:pos="0"/>
        </w:tabs>
        <w:suppressAutoHyphens/>
        <w:ind w:left="720" w:hanging="720"/>
        <w:jc w:val="both"/>
        <w:rPr>
          <w:rFonts w:ascii="Times New Roman" w:hAnsi="Times New Roman"/>
          <w:spacing w:val="-3"/>
          <w:sz w:val="24"/>
          <w:lang w:val="en-GB"/>
        </w:rPr>
      </w:pPr>
      <w:r>
        <w:rPr>
          <w:rFonts w:ascii="Times New Roman" w:hAnsi="Times New Roman"/>
          <w:spacing w:val="-3"/>
          <w:sz w:val="24"/>
          <w:lang w:val="en-GB"/>
        </w:rPr>
        <w:tab/>
        <w:t>Severance pay will be in accordance with the Employment Standards Act.</w:t>
      </w:r>
    </w:p>
    <w:p w:rsidR="001A77EC" w:rsidRDefault="001A77EC"/>
    <w:sectPr w:rsidR="001A77E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810" w:rsidRDefault="00504810" w:rsidP="00504810">
      <w:pPr>
        <w:spacing w:after="0" w:line="240" w:lineRule="auto"/>
      </w:pPr>
      <w:r>
        <w:separator/>
      </w:r>
    </w:p>
  </w:endnote>
  <w:endnote w:type="continuationSeparator" w:id="0">
    <w:p w:rsidR="00504810" w:rsidRDefault="00504810" w:rsidP="00504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810" w:rsidRDefault="00504810" w:rsidP="00504810">
      <w:pPr>
        <w:spacing w:after="0" w:line="240" w:lineRule="auto"/>
      </w:pPr>
      <w:r>
        <w:separator/>
      </w:r>
    </w:p>
  </w:footnote>
  <w:footnote w:type="continuationSeparator" w:id="0">
    <w:p w:rsidR="00504810" w:rsidRDefault="00504810" w:rsidP="005048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05"/>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64"/>
      <w:gridCol w:w="3960"/>
    </w:tblGrid>
    <w:tr w:rsidR="00504810" w:rsidRPr="00504810" w:rsidTr="002E51AB">
      <w:trPr>
        <w:cantSplit/>
      </w:trPr>
      <w:tc>
        <w:tcPr>
          <w:tcW w:w="1384" w:type="dxa"/>
          <w:vMerge w:val="restart"/>
        </w:tcPr>
        <w:p w:rsidR="00504810" w:rsidRPr="00504810" w:rsidRDefault="00504810" w:rsidP="00504810">
          <w:pPr>
            <w:spacing w:after="0" w:line="240" w:lineRule="auto"/>
            <w:rPr>
              <w:rFonts w:ascii="Arial" w:eastAsia="Times New Roman" w:hAnsi="Arial" w:cs="Arial"/>
              <w:b/>
              <w:sz w:val="28"/>
              <w:szCs w:val="20"/>
            </w:rPr>
          </w:pPr>
          <w:r w:rsidRPr="00504810">
            <w:rPr>
              <w:rFonts w:ascii="Times New Roman" w:eastAsia="Times New Roman" w:hAnsi="Times New Roman" w:cs="Times New Roman"/>
              <w:noProof/>
              <w:sz w:val="24"/>
              <w:szCs w:val="20"/>
            </w:rPr>
            <w:drawing>
              <wp:anchor distT="0" distB="0" distL="114300" distR="114300" simplePos="0" relativeHeight="251658240" behindDoc="0" locked="0" layoutInCell="1" allowOverlap="1" wp14:anchorId="011013BB" wp14:editId="60D19E4F">
                <wp:simplePos x="0" y="0"/>
                <wp:positionH relativeFrom="column">
                  <wp:posOffset>50165</wp:posOffset>
                </wp:positionH>
                <wp:positionV relativeFrom="paragraph">
                  <wp:posOffset>64770</wp:posOffset>
                </wp:positionV>
                <wp:extent cx="619125" cy="600075"/>
                <wp:effectExtent l="0" t="0" r="9525" b="9525"/>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64" w:type="dxa"/>
        </w:tcPr>
        <w:p w:rsidR="00504810" w:rsidRPr="00504810" w:rsidRDefault="00504810" w:rsidP="00504810">
          <w:pPr>
            <w:spacing w:after="0" w:line="240" w:lineRule="auto"/>
            <w:rPr>
              <w:rFonts w:ascii="Arial" w:eastAsia="Times New Roman" w:hAnsi="Arial" w:cs="Arial"/>
              <w:sz w:val="24"/>
              <w:szCs w:val="24"/>
              <w:lang w:val="en-CA" w:eastAsia="en-CA"/>
            </w:rPr>
          </w:pPr>
          <w:r w:rsidRPr="00504810">
            <w:rPr>
              <w:rFonts w:ascii="Arial" w:eastAsia="Times New Roman" w:hAnsi="Arial" w:cs="Arial"/>
              <w:b/>
              <w:sz w:val="28"/>
              <w:szCs w:val="20"/>
            </w:rPr>
            <w:t>End of Employment: Non-Academic Exempt Employees</w:t>
          </w:r>
        </w:p>
      </w:tc>
      <w:tc>
        <w:tcPr>
          <w:tcW w:w="3960" w:type="dxa"/>
        </w:tcPr>
        <w:p w:rsidR="00504810" w:rsidRPr="00504810" w:rsidRDefault="00504810" w:rsidP="00504810">
          <w:pPr>
            <w:tabs>
              <w:tab w:val="left" w:pos="2299"/>
              <w:tab w:val="left" w:pos="3648"/>
              <w:tab w:val="left" w:pos="3790"/>
              <w:tab w:val="left" w:pos="4604"/>
            </w:tabs>
            <w:spacing w:after="0" w:line="240" w:lineRule="auto"/>
            <w:jc w:val="right"/>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 xml:space="preserve">Page:  </w:t>
          </w:r>
          <w:sdt>
            <w:sdtPr>
              <w:rPr>
                <w:rFonts w:ascii="Arial" w:eastAsia="Times New Roman" w:hAnsi="Arial" w:cs="Arial"/>
                <w:sz w:val="24"/>
                <w:szCs w:val="24"/>
                <w:lang w:val="en-CA" w:eastAsia="en-CA"/>
              </w:rPr>
              <w:id w:val="2114399756"/>
              <w:docPartObj>
                <w:docPartGallery w:val="Page Numbers (Top of Page)"/>
                <w:docPartUnique/>
              </w:docPartObj>
            </w:sdtPr>
            <w:sdtEndPr/>
            <w:sdtContent>
              <w:r w:rsidRPr="00504810">
                <w:rPr>
                  <w:rFonts w:ascii="Arial" w:eastAsia="Times New Roman" w:hAnsi="Arial" w:cs="Arial"/>
                  <w:sz w:val="24"/>
                  <w:szCs w:val="24"/>
                  <w:lang w:val="en-CA" w:eastAsia="en-CA"/>
                </w:rPr>
                <w:fldChar w:fldCharType="begin"/>
              </w:r>
              <w:r w:rsidRPr="00504810">
                <w:rPr>
                  <w:rFonts w:ascii="Arial" w:eastAsia="Times New Roman" w:hAnsi="Arial" w:cs="Arial"/>
                  <w:sz w:val="24"/>
                  <w:szCs w:val="24"/>
                  <w:lang w:val="en-CA" w:eastAsia="en-CA"/>
                </w:rPr>
                <w:instrText xml:space="preserve"> PAGE   \* MERGEFORMAT </w:instrText>
              </w:r>
              <w:r w:rsidRPr="00504810">
                <w:rPr>
                  <w:rFonts w:ascii="Arial" w:eastAsia="Times New Roman" w:hAnsi="Arial" w:cs="Arial"/>
                  <w:sz w:val="24"/>
                  <w:szCs w:val="24"/>
                  <w:lang w:val="en-CA" w:eastAsia="en-CA"/>
                </w:rPr>
                <w:fldChar w:fldCharType="separate"/>
              </w:r>
              <w:r w:rsidR="0041344B">
                <w:rPr>
                  <w:rFonts w:ascii="Arial" w:eastAsia="Times New Roman" w:hAnsi="Arial" w:cs="Arial"/>
                  <w:noProof/>
                  <w:sz w:val="24"/>
                  <w:szCs w:val="24"/>
                  <w:lang w:val="en-CA" w:eastAsia="en-CA"/>
                </w:rPr>
                <w:t>2</w:t>
              </w:r>
              <w:r w:rsidRPr="00504810">
                <w:rPr>
                  <w:rFonts w:ascii="Arial" w:eastAsia="Times New Roman" w:hAnsi="Arial" w:cs="Arial"/>
                  <w:sz w:val="24"/>
                  <w:szCs w:val="24"/>
                  <w:lang w:val="en-CA" w:eastAsia="en-CA"/>
                </w:rPr>
                <w:fldChar w:fldCharType="end"/>
              </w:r>
              <w:r>
                <w:rPr>
                  <w:rFonts w:ascii="Arial" w:eastAsia="Times New Roman" w:hAnsi="Arial" w:cs="Arial"/>
                  <w:sz w:val="24"/>
                  <w:szCs w:val="24"/>
                  <w:lang w:val="en-CA" w:eastAsia="en-CA"/>
                </w:rPr>
                <w:t xml:space="preserve"> of 2 </w:t>
              </w:r>
            </w:sdtContent>
          </w:sdt>
        </w:p>
        <w:p w:rsidR="00504810" w:rsidRPr="00504810" w:rsidRDefault="00504810" w:rsidP="00504810">
          <w:pPr>
            <w:tabs>
              <w:tab w:val="left" w:pos="3648"/>
              <w:tab w:val="left" w:pos="3790"/>
              <w:tab w:val="left" w:pos="4604"/>
            </w:tabs>
            <w:spacing w:after="0" w:line="240" w:lineRule="auto"/>
            <w:jc w:val="right"/>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 xml:space="preserve"> </w:t>
          </w:r>
        </w:p>
      </w:tc>
    </w:tr>
    <w:tr w:rsidR="00504810" w:rsidRPr="00504810" w:rsidTr="002E51AB">
      <w:trPr>
        <w:cantSplit/>
      </w:trPr>
      <w:tc>
        <w:tcPr>
          <w:tcW w:w="1384" w:type="dxa"/>
          <w:vMerge/>
        </w:tcPr>
        <w:p w:rsidR="00504810" w:rsidRPr="00504810" w:rsidRDefault="00504810" w:rsidP="00504810">
          <w:pPr>
            <w:spacing w:after="0" w:line="240" w:lineRule="auto"/>
            <w:rPr>
              <w:rFonts w:ascii="Arial" w:eastAsia="Times New Roman" w:hAnsi="Arial" w:cs="Arial"/>
              <w:sz w:val="24"/>
              <w:szCs w:val="24"/>
              <w:lang w:val="en-CA" w:eastAsia="en-CA"/>
            </w:rPr>
          </w:pPr>
        </w:p>
      </w:tc>
      <w:tc>
        <w:tcPr>
          <w:tcW w:w="5564" w:type="dxa"/>
        </w:tcPr>
        <w:p w:rsidR="00504810" w:rsidRPr="00504810" w:rsidRDefault="00504810" w:rsidP="00504810">
          <w:pPr>
            <w:spacing w:after="0" w:line="240" w:lineRule="auto"/>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Date Created: July 4, 1995</w:t>
          </w:r>
        </w:p>
      </w:tc>
      <w:tc>
        <w:tcPr>
          <w:tcW w:w="3960" w:type="dxa"/>
        </w:tcPr>
        <w:p w:rsidR="00504810" w:rsidRPr="00504810" w:rsidRDefault="00504810" w:rsidP="00504810">
          <w:pPr>
            <w:spacing w:after="0" w:line="240" w:lineRule="auto"/>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 xml:space="preserve">Update Approved: </w:t>
          </w:r>
          <w:r w:rsidR="0041344B">
            <w:rPr>
              <w:rFonts w:ascii="Arial" w:hAnsi="Arial" w:cs="Arial"/>
              <w:szCs w:val="24"/>
              <w:lang w:val="en-CA" w:eastAsia="en-CA"/>
            </w:rPr>
            <w:t>January</w:t>
          </w:r>
          <w:r w:rsidR="0041344B">
            <w:rPr>
              <w:rFonts w:ascii="Arial" w:hAnsi="Arial" w:cs="Arial"/>
              <w:szCs w:val="24"/>
              <w:lang w:val="en-CA" w:eastAsia="en-CA"/>
            </w:rPr>
            <w:t xml:space="preserve"> 2016</w:t>
          </w:r>
        </w:p>
      </w:tc>
    </w:tr>
    <w:tr w:rsidR="00504810" w:rsidRPr="00504810" w:rsidTr="002E51AB">
      <w:trPr>
        <w:cantSplit/>
        <w:trHeight w:val="300"/>
      </w:trPr>
      <w:tc>
        <w:tcPr>
          <w:tcW w:w="1384" w:type="dxa"/>
          <w:vMerge/>
        </w:tcPr>
        <w:p w:rsidR="00504810" w:rsidRPr="00504810" w:rsidRDefault="00504810" w:rsidP="00504810">
          <w:pPr>
            <w:spacing w:after="0" w:line="240" w:lineRule="auto"/>
            <w:rPr>
              <w:rFonts w:ascii="Arial" w:eastAsia="Times New Roman" w:hAnsi="Arial" w:cs="Arial"/>
              <w:sz w:val="24"/>
              <w:szCs w:val="24"/>
              <w:lang w:val="en-CA" w:eastAsia="en-CA"/>
            </w:rPr>
          </w:pPr>
        </w:p>
      </w:tc>
      <w:tc>
        <w:tcPr>
          <w:tcW w:w="5564" w:type="dxa"/>
        </w:tcPr>
        <w:p w:rsidR="00504810" w:rsidRPr="00504810" w:rsidRDefault="00504810" w:rsidP="0041344B">
          <w:pPr>
            <w:spacing w:after="0" w:line="240" w:lineRule="auto"/>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 xml:space="preserve">Approved  By: </w:t>
          </w:r>
          <w:r w:rsidR="0041344B">
            <w:rPr>
              <w:rFonts w:ascii="Arial" w:eastAsia="Times New Roman" w:hAnsi="Arial" w:cs="Arial"/>
              <w:sz w:val="24"/>
              <w:szCs w:val="24"/>
              <w:lang w:val="en-CA" w:eastAsia="en-CA"/>
            </w:rPr>
            <w:t>PVP</w:t>
          </w:r>
        </w:p>
      </w:tc>
      <w:tc>
        <w:tcPr>
          <w:tcW w:w="3960" w:type="dxa"/>
        </w:tcPr>
        <w:p w:rsidR="00504810" w:rsidRPr="00504810" w:rsidRDefault="00504810" w:rsidP="00504810">
          <w:pPr>
            <w:tabs>
              <w:tab w:val="left" w:pos="5512"/>
            </w:tabs>
            <w:spacing w:after="0" w:line="240" w:lineRule="auto"/>
            <w:rPr>
              <w:rFonts w:ascii="Arial" w:eastAsia="Times New Roman" w:hAnsi="Arial" w:cs="Arial"/>
              <w:sz w:val="24"/>
              <w:szCs w:val="24"/>
              <w:lang w:val="en-CA" w:eastAsia="en-CA"/>
            </w:rPr>
          </w:pPr>
          <w:r w:rsidRPr="00504810">
            <w:rPr>
              <w:rFonts w:ascii="Arial" w:eastAsia="Times New Roman" w:hAnsi="Arial" w:cs="Arial"/>
              <w:sz w:val="24"/>
              <w:szCs w:val="24"/>
              <w:lang w:val="en-CA" w:eastAsia="en-CA"/>
            </w:rPr>
            <w:t xml:space="preserve">Next Review: </w:t>
          </w:r>
          <w:r w:rsidR="0041344B">
            <w:rPr>
              <w:rFonts w:ascii="Arial" w:hAnsi="Arial" w:cs="Arial"/>
              <w:szCs w:val="24"/>
              <w:lang w:val="en-CA" w:eastAsia="en-CA"/>
            </w:rPr>
            <w:t>January</w:t>
          </w:r>
          <w:r w:rsidR="0041344B">
            <w:rPr>
              <w:rFonts w:ascii="Arial" w:hAnsi="Arial" w:cs="Arial"/>
              <w:szCs w:val="24"/>
              <w:lang w:val="en-CA" w:eastAsia="en-CA"/>
            </w:rPr>
            <w:t xml:space="preserve"> 2021</w:t>
          </w:r>
        </w:p>
      </w:tc>
    </w:tr>
  </w:tbl>
  <w:p w:rsidR="00504810" w:rsidRDefault="00504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51B24"/>
    <w:multiLevelType w:val="hybridMultilevel"/>
    <w:tmpl w:val="68ACF3FC"/>
    <w:lvl w:ilvl="0" w:tplc="BBAA108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28C45F4"/>
    <w:multiLevelType w:val="hybridMultilevel"/>
    <w:tmpl w:val="D344658E"/>
    <w:lvl w:ilvl="0" w:tplc="ED7EBF26">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B13B49"/>
    <w:multiLevelType w:val="hybridMultilevel"/>
    <w:tmpl w:val="4F26D080"/>
    <w:lvl w:ilvl="0" w:tplc="DE142E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177D9E"/>
    <w:rsid w:val="001A77EC"/>
    <w:rsid w:val="0041344B"/>
    <w:rsid w:val="00504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1B73455-90D7-45FF-B05B-67D31B3F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810"/>
  </w:style>
  <w:style w:type="paragraph" w:styleId="Footer">
    <w:name w:val="footer"/>
    <w:basedOn w:val="Normal"/>
    <w:link w:val="FooterChar"/>
    <w:uiPriority w:val="99"/>
    <w:unhideWhenUsed/>
    <w:rsid w:val="00504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Hoogkamer</dc:creator>
  <cp:keywords/>
  <dc:description/>
  <cp:lastModifiedBy>Danielle Hoogkamer</cp:lastModifiedBy>
  <cp:revision>3</cp:revision>
  <cp:lastPrinted>2015-11-06T17:16:00Z</cp:lastPrinted>
  <dcterms:created xsi:type="dcterms:W3CDTF">2015-11-06T17:12:00Z</dcterms:created>
  <dcterms:modified xsi:type="dcterms:W3CDTF">2016-01-20T19:36:00Z</dcterms:modified>
</cp:coreProperties>
</file>