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7BC8" w14:textId="77777777" w:rsidR="00B866F0" w:rsidRDefault="00B866F0" w:rsidP="005A3D8E">
      <w:pPr>
        <w:spacing w:after="0" w:line="240" w:lineRule="auto"/>
        <w:jc w:val="center"/>
        <w:rPr>
          <w:sz w:val="24"/>
          <w:szCs w:val="24"/>
          <w:u w:val="single"/>
        </w:rPr>
      </w:pPr>
      <w:bookmarkStart w:id="0" w:name="_Hlk115777065"/>
      <w:bookmarkEnd w:id="0"/>
    </w:p>
    <w:p w14:paraId="1487A4B4" w14:textId="77777777" w:rsidR="00B866F0" w:rsidRDefault="00B866F0" w:rsidP="00B866F0">
      <w:pPr>
        <w:spacing w:after="0" w:line="240" w:lineRule="auto"/>
        <w:jc w:val="center"/>
        <w:rPr>
          <w:sz w:val="24"/>
          <w:szCs w:val="24"/>
          <w:u w:val="single"/>
        </w:rPr>
      </w:pPr>
      <w:r>
        <w:rPr>
          <w:b/>
          <w:bCs/>
          <w:noProof/>
          <w:lang w:val="en-US"/>
        </w:rPr>
        <w:drawing>
          <wp:inline distT="0" distB="0" distL="0" distR="0" wp14:anchorId="077EAA4A" wp14:editId="215793B4">
            <wp:extent cx="2038350" cy="854133"/>
            <wp:effectExtent l="0" t="0" r="0" b="3175"/>
            <wp:docPr id="1084386501" name="Picture 1084386501"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32C6449D" w14:textId="77777777" w:rsidR="00B866F0" w:rsidRDefault="00B866F0" w:rsidP="00B866F0">
      <w:pPr>
        <w:spacing w:after="0" w:line="240" w:lineRule="auto"/>
        <w:jc w:val="center"/>
        <w:rPr>
          <w:sz w:val="24"/>
          <w:szCs w:val="24"/>
          <w:u w:val="single"/>
        </w:rPr>
      </w:pPr>
    </w:p>
    <w:p w14:paraId="7B430FDA" w14:textId="77777777" w:rsidR="00B866F0" w:rsidRPr="005A3D8E" w:rsidRDefault="00B866F0" w:rsidP="00B866F0">
      <w:pPr>
        <w:spacing w:after="0" w:line="240" w:lineRule="auto"/>
        <w:jc w:val="center"/>
        <w:rPr>
          <w:sz w:val="36"/>
          <w:szCs w:val="36"/>
        </w:rPr>
      </w:pPr>
      <w:r w:rsidRPr="005A3D8E">
        <w:rPr>
          <w:sz w:val="36"/>
          <w:szCs w:val="36"/>
        </w:rPr>
        <w:t>Foodservice Advisory Committee</w:t>
      </w:r>
    </w:p>
    <w:p w14:paraId="706E909C" w14:textId="1E2C9193" w:rsidR="00B866F0" w:rsidRPr="00B866F0" w:rsidRDefault="00B866F0" w:rsidP="00A769CA">
      <w:pPr>
        <w:spacing w:after="0" w:line="240" w:lineRule="auto"/>
        <w:jc w:val="center"/>
        <w:rPr>
          <w:rFonts w:ascii="Arial" w:hAnsi="Arial" w:cs="Arial"/>
        </w:rPr>
      </w:pPr>
      <w:r>
        <w:rPr>
          <w:sz w:val="36"/>
          <w:szCs w:val="36"/>
        </w:rPr>
        <w:t>November 6, 2025</w:t>
      </w:r>
    </w:p>
    <w:p w14:paraId="5EEB7F16" w14:textId="77777777" w:rsidR="00B866F0" w:rsidRDefault="00B866F0" w:rsidP="00B866F0">
      <w:pPr>
        <w:spacing w:after="0" w:line="240" w:lineRule="auto"/>
        <w:jc w:val="center"/>
        <w:rPr>
          <w:rFonts w:ascii="Arial" w:hAnsi="Arial" w:cs="Arial"/>
          <w:sz w:val="36"/>
          <w:szCs w:val="36"/>
        </w:rPr>
      </w:pPr>
    </w:p>
    <w:p w14:paraId="0B774E9B" w14:textId="5E4EB786" w:rsidR="00B866F0" w:rsidRPr="000E229A" w:rsidRDefault="00A769CA" w:rsidP="00B866F0">
      <w:pPr>
        <w:spacing w:after="0" w:line="240" w:lineRule="auto"/>
        <w:jc w:val="center"/>
        <w:rPr>
          <w:rFonts w:ascii="Arial" w:hAnsi="Arial" w:cs="Arial"/>
          <w:sz w:val="36"/>
          <w:szCs w:val="36"/>
        </w:rPr>
      </w:pPr>
      <w:r>
        <w:rPr>
          <w:rFonts w:ascii="Arial" w:hAnsi="Arial" w:cs="Arial"/>
          <w:sz w:val="36"/>
          <w:szCs w:val="36"/>
        </w:rPr>
        <w:t>MEETING NOTES</w:t>
      </w:r>
    </w:p>
    <w:p w14:paraId="7B0F3B17" w14:textId="77777777" w:rsidR="00B866F0" w:rsidRPr="000E229A" w:rsidRDefault="00B866F0" w:rsidP="00B866F0">
      <w:pPr>
        <w:spacing w:after="0" w:line="240" w:lineRule="auto"/>
        <w:jc w:val="center"/>
        <w:rPr>
          <w:rFonts w:ascii="Arial" w:eastAsia="Times New Roman" w:hAnsi="Arial" w:cs="Arial"/>
          <w:color w:val="212121"/>
          <w:sz w:val="24"/>
          <w:szCs w:val="24"/>
          <w:lang w:eastAsia="en-CA"/>
        </w:rPr>
      </w:pPr>
    </w:p>
    <w:p w14:paraId="125AD6B2" w14:textId="4CE977B8" w:rsidR="00B866F0" w:rsidRDefault="00B866F0" w:rsidP="00A769CA">
      <w:pPr>
        <w:spacing w:after="0" w:line="240" w:lineRule="auto"/>
        <w:rPr>
          <w:rFonts w:ascii="Arial" w:eastAsia="Times New Roman" w:hAnsi="Arial" w:cs="Arial"/>
          <w:color w:val="212121"/>
          <w:sz w:val="24"/>
          <w:szCs w:val="24"/>
          <w:lang w:eastAsia="en-CA"/>
        </w:rPr>
      </w:pPr>
      <w:r w:rsidRPr="00A769CA">
        <w:rPr>
          <w:rFonts w:ascii="Arial" w:eastAsia="Times New Roman" w:hAnsi="Arial" w:cs="Arial"/>
          <w:color w:val="212121"/>
          <w:sz w:val="24"/>
          <w:szCs w:val="24"/>
          <w:lang w:eastAsia="en-CA"/>
        </w:rPr>
        <w:t>Attendance</w:t>
      </w:r>
      <w:r w:rsidR="00A769CA">
        <w:rPr>
          <w:rFonts w:ascii="Arial" w:eastAsia="Times New Roman" w:hAnsi="Arial" w:cs="Arial"/>
          <w:color w:val="212121"/>
          <w:sz w:val="24"/>
          <w:szCs w:val="24"/>
          <w:lang w:eastAsia="en-CA"/>
        </w:rPr>
        <w:t xml:space="preserve">:  Mark Murdoch, Food Services; </w:t>
      </w:r>
      <w:r w:rsidR="001F1E60">
        <w:rPr>
          <w:rFonts w:ascii="Arial" w:eastAsia="Times New Roman" w:hAnsi="Arial" w:cs="Arial"/>
          <w:color w:val="212121"/>
          <w:sz w:val="24"/>
          <w:szCs w:val="24"/>
          <w:lang w:eastAsia="en-CA"/>
        </w:rPr>
        <w:t xml:space="preserve">Aimee Blyth, Seasoned Spoon; </w:t>
      </w:r>
      <w:r w:rsidR="000249E4">
        <w:rPr>
          <w:rFonts w:ascii="Arial" w:eastAsia="Times New Roman" w:hAnsi="Arial" w:cs="Arial"/>
          <w:color w:val="212121"/>
          <w:sz w:val="24"/>
          <w:szCs w:val="24"/>
          <w:lang w:eastAsia="en-CA"/>
        </w:rPr>
        <w:t xml:space="preserve">Christine Thomas, Chartwells; Kim Stevens, Corine Bolton, CUPE 3205; </w:t>
      </w:r>
      <w:r w:rsidR="00CF6FE0">
        <w:rPr>
          <w:rFonts w:ascii="Arial" w:eastAsia="Times New Roman" w:hAnsi="Arial" w:cs="Arial"/>
          <w:color w:val="212121"/>
          <w:sz w:val="24"/>
          <w:szCs w:val="24"/>
          <w:lang w:eastAsia="en-CA"/>
        </w:rPr>
        <w:t xml:space="preserve">Johanna Hart, </w:t>
      </w:r>
      <w:r w:rsidR="0057545D">
        <w:rPr>
          <w:rFonts w:ascii="Arial" w:eastAsia="Times New Roman" w:hAnsi="Arial" w:cs="Arial"/>
          <w:color w:val="212121"/>
          <w:sz w:val="24"/>
          <w:szCs w:val="24"/>
          <w:lang w:eastAsia="en-CA"/>
        </w:rPr>
        <w:t>Spiritual Affairs</w:t>
      </w:r>
      <w:r w:rsidR="00CF6FE0">
        <w:rPr>
          <w:rFonts w:ascii="Arial" w:eastAsia="Times New Roman" w:hAnsi="Arial" w:cs="Arial"/>
          <w:color w:val="212121"/>
          <w:sz w:val="24"/>
          <w:szCs w:val="24"/>
          <w:lang w:eastAsia="en-CA"/>
        </w:rPr>
        <w:t xml:space="preserve">; Rylin Wormington, </w:t>
      </w:r>
      <w:r w:rsidR="00542F84">
        <w:rPr>
          <w:rFonts w:ascii="Arial" w:eastAsia="Times New Roman" w:hAnsi="Arial" w:cs="Arial"/>
          <w:color w:val="212121"/>
          <w:sz w:val="24"/>
          <w:szCs w:val="24"/>
          <w:lang w:eastAsia="en-CA"/>
        </w:rPr>
        <w:t>Otonabee Cabinet</w:t>
      </w:r>
      <w:r w:rsidR="00CF6FE0">
        <w:rPr>
          <w:rFonts w:ascii="Arial" w:eastAsia="Times New Roman" w:hAnsi="Arial" w:cs="Arial"/>
          <w:color w:val="212121"/>
          <w:sz w:val="24"/>
          <w:szCs w:val="24"/>
          <w:lang w:eastAsia="en-CA"/>
        </w:rPr>
        <w:t xml:space="preserve">; </w:t>
      </w:r>
      <w:r w:rsidR="00A97835">
        <w:rPr>
          <w:rFonts w:ascii="Arial" w:eastAsia="Times New Roman" w:hAnsi="Arial" w:cs="Arial"/>
          <w:color w:val="212121"/>
          <w:sz w:val="24"/>
          <w:szCs w:val="24"/>
          <w:lang w:eastAsia="en-CA"/>
        </w:rPr>
        <w:t>Sarah Ovens, LEC Cabinet</w:t>
      </w:r>
      <w:r w:rsidR="00502DAD">
        <w:rPr>
          <w:rFonts w:ascii="Arial" w:eastAsia="Times New Roman" w:hAnsi="Arial" w:cs="Arial"/>
          <w:color w:val="212121"/>
          <w:sz w:val="24"/>
          <w:szCs w:val="24"/>
          <w:lang w:eastAsia="en-CA"/>
        </w:rPr>
        <w:t xml:space="preserve">; Shelley Strain, Sustainability Office; </w:t>
      </w:r>
      <w:r w:rsidR="00B40E2A">
        <w:rPr>
          <w:rFonts w:ascii="Arial" w:eastAsia="Times New Roman" w:hAnsi="Arial" w:cs="Arial"/>
          <w:color w:val="212121"/>
          <w:sz w:val="24"/>
          <w:szCs w:val="24"/>
          <w:lang w:eastAsia="en-CA"/>
        </w:rPr>
        <w:t xml:space="preserve">Ainsley McPherson, </w:t>
      </w:r>
      <w:r w:rsidR="00542F84">
        <w:rPr>
          <w:rFonts w:ascii="Arial" w:eastAsia="Times New Roman" w:hAnsi="Arial" w:cs="Arial"/>
          <w:color w:val="212121"/>
          <w:sz w:val="24"/>
          <w:szCs w:val="24"/>
          <w:lang w:eastAsia="en-CA"/>
        </w:rPr>
        <w:t xml:space="preserve">Gzowski Cabinet, </w:t>
      </w:r>
    </w:p>
    <w:p w14:paraId="1E139E8B" w14:textId="77777777" w:rsidR="00502DAD" w:rsidRDefault="00502DAD" w:rsidP="00A769CA">
      <w:pPr>
        <w:spacing w:after="0" w:line="240" w:lineRule="auto"/>
        <w:rPr>
          <w:rFonts w:ascii="Arial" w:eastAsia="Times New Roman" w:hAnsi="Arial" w:cs="Arial"/>
          <w:color w:val="212121"/>
          <w:sz w:val="24"/>
          <w:szCs w:val="24"/>
          <w:lang w:eastAsia="en-CA"/>
        </w:rPr>
      </w:pPr>
    </w:p>
    <w:p w14:paraId="6D6B64A0" w14:textId="77777777" w:rsidR="00502DAD" w:rsidRPr="00A769CA" w:rsidRDefault="00502DAD" w:rsidP="00A769CA">
      <w:pPr>
        <w:spacing w:after="0" w:line="240" w:lineRule="auto"/>
        <w:rPr>
          <w:rFonts w:ascii="Arial" w:hAnsi="Arial" w:cs="Arial"/>
          <w:sz w:val="24"/>
          <w:szCs w:val="24"/>
          <w:u w:val="single"/>
        </w:rPr>
      </w:pPr>
    </w:p>
    <w:p w14:paraId="0B14ADCD" w14:textId="0C8BAB99" w:rsidR="00B866F0" w:rsidRPr="00510EA2" w:rsidRDefault="00B866F0" w:rsidP="00B866F0">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Pr>
          <w:rFonts w:ascii="Arial" w:hAnsi="Arial" w:cs="Arial"/>
          <w:sz w:val="24"/>
          <w:szCs w:val="24"/>
        </w:rPr>
        <w:t>October 9</w:t>
      </w:r>
    </w:p>
    <w:p w14:paraId="335C4FE4" w14:textId="11D324B4" w:rsidR="00B866F0" w:rsidRPr="00510EA2" w:rsidRDefault="00BA50B9" w:rsidP="00B866F0">
      <w:pPr>
        <w:pStyle w:val="ListParagraph"/>
        <w:numPr>
          <w:ilvl w:val="1"/>
          <w:numId w:val="1"/>
        </w:numPr>
        <w:spacing w:after="0" w:line="240" w:lineRule="auto"/>
        <w:rPr>
          <w:rFonts w:ascii="Arial" w:hAnsi="Arial" w:cs="Arial"/>
          <w:sz w:val="24"/>
          <w:szCs w:val="24"/>
        </w:rPr>
      </w:pPr>
      <w:r>
        <w:rPr>
          <w:rFonts w:ascii="Arial" w:hAnsi="Arial" w:cs="Arial"/>
          <w:sz w:val="24"/>
          <w:szCs w:val="24"/>
        </w:rPr>
        <w:t>No items for follow up.</w:t>
      </w:r>
    </w:p>
    <w:p w14:paraId="77719D11" w14:textId="77777777" w:rsidR="00B866F0" w:rsidRPr="00510EA2" w:rsidRDefault="00B866F0" w:rsidP="00B866F0">
      <w:pPr>
        <w:pStyle w:val="ListParagraph"/>
        <w:numPr>
          <w:ilvl w:val="0"/>
          <w:numId w:val="1"/>
        </w:numPr>
        <w:spacing w:after="0" w:line="240" w:lineRule="auto"/>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5CA37AB4" w14:textId="77777777" w:rsidR="00B866F0" w:rsidRPr="00011FE5" w:rsidRDefault="00B866F0" w:rsidP="00B866F0">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26964B06" w14:textId="32C70500" w:rsidR="00B866F0" w:rsidRDefault="00B866F0" w:rsidP="0055678A">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November 4</w:t>
      </w:r>
    </w:p>
    <w:p w14:paraId="55009871" w14:textId="7BC5E7C1" w:rsidR="0057545D" w:rsidRPr="0055678A" w:rsidRDefault="0057545D" w:rsidP="0055678A">
      <w:pPr>
        <w:pStyle w:val="ListParagraph"/>
        <w:numPr>
          <w:ilvl w:val="1"/>
          <w:numId w:val="2"/>
        </w:numPr>
        <w:spacing w:after="0" w:line="240" w:lineRule="auto"/>
        <w:rPr>
          <w:rFonts w:ascii="Arial" w:hAnsi="Arial" w:cs="Arial"/>
          <w:sz w:val="24"/>
          <w:szCs w:val="24"/>
        </w:rPr>
      </w:pPr>
      <w:r>
        <w:rPr>
          <w:rFonts w:ascii="Arial" w:hAnsi="Arial" w:cs="Arial"/>
          <w:sz w:val="24"/>
          <w:szCs w:val="24"/>
        </w:rPr>
        <w:t>Mark is meeting with the TCSA to review communication strategies and other matters to improve participation in the Punch-a-Lunch program.</w:t>
      </w:r>
    </w:p>
    <w:p w14:paraId="752CD033" w14:textId="77777777" w:rsidR="00B866F0" w:rsidRPr="00AF6CB1" w:rsidRDefault="00B866F0" w:rsidP="00B866F0">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533C1ABB" w14:textId="77CB4649" w:rsidR="00B866F0" w:rsidRDefault="00B866F0" w:rsidP="00B866F0">
      <w:pPr>
        <w:pStyle w:val="ListParagraph"/>
        <w:numPr>
          <w:ilvl w:val="1"/>
          <w:numId w:val="2"/>
        </w:numPr>
        <w:spacing w:after="0" w:line="240" w:lineRule="auto"/>
        <w:rPr>
          <w:rFonts w:ascii="Arial" w:hAnsi="Arial" w:cs="Arial"/>
          <w:sz w:val="24"/>
          <w:szCs w:val="24"/>
        </w:rPr>
      </w:pPr>
      <w:r>
        <w:rPr>
          <w:rFonts w:ascii="Arial" w:hAnsi="Arial" w:cs="Arial"/>
          <w:sz w:val="24"/>
          <w:szCs w:val="24"/>
        </w:rPr>
        <w:t>No meeting held this month</w:t>
      </w:r>
    </w:p>
    <w:p w14:paraId="1AFEB95B" w14:textId="482638C0" w:rsidR="00BA50B9" w:rsidRDefault="00BA50B9" w:rsidP="00B866F0">
      <w:pPr>
        <w:pStyle w:val="ListParagraph"/>
        <w:numPr>
          <w:ilvl w:val="1"/>
          <w:numId w:val="2"/>
        </w:numPr>
        <w:spacing w:after="0" w:line="240" w:lineRule="auto"/>
        <w:rPr>
          <w:rFonts w:ascii="Arial" w:hAnsi="Arial" w:cs="Arial"/>
          <w:sz w:val="24"/>
          <w:szCs w:val="24"/>
        </w:rPr>
      </w:pPr>
      <w:r>
        <w:rPr>
          <w:rFonts w:ascii="Arial" w:hAnsi="Arial" w:cs="Arial"/>
          <w:sz w:val="24"/>
          <w:szCs w:val="24"/>
        </w:rPr>
        <w:t>The Three Star Green Restaurant Certification for LEC is complete.  The certification for Gzowski has been delayed due to on-going construction.</w:t>
      </w:r>
    </w:p>
    <w:p w14:paraId="43DA487B" w14:textId="77777777" w:rsidR="00B866F0" w:rsidRPr="00AF6CB1" w:rsidRDefault="00B866F0" w:rsidP="00B866F0">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14:paraId="281B7AA4" w14:textId="63A5E888" w:rsidR="00B866F0" w:rsidRPr="00B866F0" w:rsidRDefault="00B866F0" w:rsidP="00B866F0">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 See meeting notes of November 4</w:t>
      </w:r>
    </w:p>
    <w:p w14:paraId="39B1B450" w14:textId="5FBC5DB3" w:rsidR="00B866F0" w:rsidRPr="006E197F" w:rsidRDefault="006E197F" w:rsidP="00B866F0">
      <w:pPr>
        <w:pStyle w:val="ListParagraph"/>
        <w:numPr>
          <w:ilvl w:val="2"/>
          <w:numId w:val="2"/>
        </w:numPr>
        <w:spacing w:after="0" w:line="240" w:lineRule="auto"/>
        <w:rPr>
          <w:rFonts w:ascii="Arial" w:hAnsi="Arial" w:cs="Arial"/>
          <w:sz w:val="24"/>
          <w:szCs w:val="24"/>
        </w:rPr>
      </w:pPr>
      <w:r w:rsidRPr="006E197F">
        <w:rPr>
          <w:rFonts w:ascii="Arial" w:hAnsi="Arial" w:cs="Arial"/>
          <w:sz w:val="24"/>
          <w:szCs w:val="24"/>
        </w:rPr>
        <w:t>2026-2027 Dining Plan Rates</w:t>
      </w:r>
      <w:r w:rsidR="0055678A">
        <w:rPr>
          <w:rFonts w:ascii="Arial" w:hAnsi="Arial" w:cs="Arial"/>
          <w:sz w:val="24"/>
          <w:szCs w:val="24"/>
        </w:rPr>
        <w:t xml:space="preserve"> - approved</w:t>
      </w:r>
    </w:p>
    <w:p w14:paraId="413CA4E5" w14:textId="77777777" w:rsidR="00B866F0" w:rsidRPr="00AF6CB1" w:rsidRDefault="00B866F0" w:rsidP="00B866F0">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Catering</w:t>
      </w:r>
    </w:p>
    <w:p w14:paraId="4E8EAB53" w14:textId="77777777" w:rsidR="00B866F0" w:rsidRPr="00943342" w:rsidRDefault="00B866F0" w:rsidP="00B866F0">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524F6997" w14:textId="77777777" w:rsidR="00B866F0" w:rsidRDefault="00B866F0" w:rsidP="00B866F0">
      <w:pPr>
        <w:pStyle w:val="ListParagraph"/>
        <w:numPr>
          <w:ilvl w:val="0"/>
          <w:numId w:val="2"/>
        </w:numPr>
        <w:spacing w:after="0" w:line="240" w:lineRule="auto"/>
        <w:rPr>
          <w:rFonts w:ascii="Arial" w:hAnsi="Arial" w:cs="Arial"/>
          <w:sz w:val="24"/>
          <w:szCs w:val="24"/>
        </w:rPr>
      </w:pPr>
      <w:r>
        <w:rPr>
          <w:rFonts w:ascii="Arial" w:hAnsi="Arial" w:cs="Arial"/>
          <w:sz w:val="24"/>
          <w:szCs w:val="24"/>
        </w:rPr>
        <w:t>All-You-Care-To-Eat Working Group</w:t>
      </w:r>
    </w:p>
    <w:p w14:paraId="4B92A8E9" w14:textId="6F7587C8" w:rsidR="00B866F0" w:rsidRPr="00943342" w:rsidRDefault="00B866F0" w:rsidP="00B866F0">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No meeting held this month</w:t>
      </w:r>
    </w:p>
    <w:p w14:paraId="6B679D61" w14:textId="77777777" w:rsidR="00B866F0" w:rsidRDefault="00B866F0" w:rsidP="00B866F0">
      <w:pPr>
        <w:pStyle w:val="ListParagraph"/>
        <w:numPr>
          <w:ilvl w:val="0"/>
          <w:numId w:val="1"/>
        </w:numPr>
        <w:spacing w:after="0" w:line="240" w:lineRule="auto"/>
        <w:rPr>
          <w:rFonts w:ascii="Arial" w:hAnsi="Arial" w:cs="Arial"/>
          <w:sz w:val="24"/>
          <w:szCs w:val="24"/>
        </w:rPr>
      </w:pPr>
      <w:r>
        <w:rPr>
          <w:rFonts w:ascii="Arial" w:hAnsi="Arial" w:cs="Arial"/>
          <w:sz w:val="24"/>
          <w:szCs w:val="24"/>
        </w:rPr>
        <w:t>AYCTE Facility Tour</w:t>
      </w:r>
    </w:p>
    <w:p w14:paraId="5466D16E" w14:textId="60A2201F" w:rsidR="00B866F0" w:rsidRPr="00B866F0" w:rsidRDefault="00B866F0" w:rsidP="00B866F0">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A tour will visit TMU, Parkside Residence and Durham College on Tuesday November 18 to observe three different operating models.  If you are interested in attending the tour email </w:t>
      </w:r>
      <w:hyperlink r:id="rId8" w:history="1">
        <w:r w:rsidRPr="0065687B">
          <w:rPr>
            <w:rStyle w:val="Hyperlink"/>
            <w:rFonts w:ascii="Arial" w:hAnsi="Arial" w:cs="Arial"/>
            <w:sz w:val="24"/>
            <w:szCs w:val="24"/>
          </w:rPr>
          <w:t>food@trentu.ca</w:t>
        </w:r>
      </w:hyperlink>
    </w:p>
    <w:p w14:paraId="7673687F" w14:textId="77777777" w:rsidR="00351283" w:rsidRPr="00167BF7" w:rsidRDefault="00B866F0" w:rsidP="00351283">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0D6738C1" w14:textId="45765485" w:rsidR="00167BF7" w:rsidRPr="00167BF7" w:rsidRDefault="00167BF7" w:rsidP="00167BF7">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Do the other operators of AYCTE programs have waste metrics available?  Yes.  Christine will get sample data from the three schools that the upcoming tour will visit.</w:t>
      </w:r>
    </w:p>
    <w:p w14:paraId="65413015" w14:textId="2DBD5A8C" w:rsidR="00167BF7" w:rsidRPr="00617CFC" w:rsidRDefault="005D2852" w:rsidP="00167BF7">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Michael (Chartwells Manager in Durham) was collecting data on eco-trays and travel mug usage.  Will he have that soon?  Christine to investigate and get back directly to Shelley.</w:t>
      </w:r>
    </w:p>
    <w:p w14:paraId="57A9253E" w14:textId="36B83EA1" w:rsidR="00617CFC" w:rsidRPr="00351283" w:rsidRDefault="00617CFC" w:rsidP="00167BF7">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Is there a limit on the use of Punch-a-Lunch punches?  A customer can only use one punch per vis</w:t>
      </w:r>
      <w:r w:rsidR="00AE15AA">
        <w:rPr>
          <w:rFonts w:ascii="Arial" w:eastAsia="Times New Roman" w:hAnsi="Arial" w:cs="Arial"/>
          <w:color w:val="212121"/>
          <w:sz w:val="24"/>
          <w:szCs w:val="24"/>
          <w:lang w:eastAsia="en-CA"/>
        </w:rPr>
        <w:t xml:space="preserve">it.  They cannot combine multiple punches to, for example, reduce a $12 purchase to $2.  A customer cannot carry forward any unused value of the punch.  For </w:t>
      </w:r>
      <w:r w:rsidR="00AE15AA">
        <w:rPr>
          <w:rFonts w:ascii="Arial" w:eastAsia="Times New Roman" w:hAnsi="Arial" w:cs="Arial"/>
          <w:color w:val="212121"/>
          <w:sz w:val="24"/>
          <w:szCs w:val="24"/>
          <w:lang w:eastAsia="en-CA"/>
        </w:rPr>
        <w:lastRenderedPageBreak/>
        <w:t>example, if the purchase a bagel for $3, the entire $5 punch is used, with no remaining value.</w:t>
      </w:r>
    </w:p>
    <w:p w14:paraId="2F866103" w14:textId="0C9620C2" w:rsidR="00B866F0" w:rsidRPr="00351283" w:rsidRDefault="00B866F0" w:rsidP="00351283">
      <w:pPr>
        <w:pStyle w:val="ListParagraph"/>
        <w:numPr>
          <w:ilvl w:val="0"/>
          <w:numId w:val="1"/>
        </w:numPr>
        <w:spacing w:after="0" w:line="240" w:lineRule="auto"/>
        <w:rPr>
          <w:rFonts w:ascii="Arial" w:hAnsi="Arial" w:cs="Arial"/>
          <w:sz w:val="24"/>
          <w:szCs w:val="24"/>
          <w:u w:val="single"/>
        </w:rPr>
      </w:pPr>
      <w:r w:rsidRPr="00351283">
        <w:rPr>
          <w:rFonts w:ascii="Arial" w:eastAsia="Times New Roman" w:hAnsi="Arial" w:cs="Arial"/>
          <w:color w:val="212121"/>
          <w:sz w:val="24"/>
          <w:szCs w:val="24"/>
          <w:lang w:eastAsia="en-CA"/>
        </w:rPr>
        <w:t>Next meeting – December 4, 9:00 – 10:30, by TEAMS</w:t>
      </w:r>
    </w:p>
    <w:p w14:paraId="4C864B7A" w14:textId="77777777" w:rsidR="00B866F0" w:rsidRDefault="00B866F0" w:rsidP="005A3D8E">
      <w:pPr>
        <w:spacing w:after="0" w:line="240" w:lineRule="auto"/>
        <w:jc w:val="center"/>
        <w:rPr>
          <w:sz w:val="24"/>
          <w:szCs w:val="24"/>
          <w:u w:val="single"/>
        </w:rPr>
      </w:pPr>
    </w:p>
    <w:p w14:paraId="4796CD07" w14:textId="77777777" w:rsidR="00B866F0" w:rsidRDefault="00B866F0" w:rsidP="005A3D8E">
      <w:pPr>
        <w:spacing w:after="0" w:line="240" w:lineRule="auto"/>
        <w:jc w:val="center"/>
        <w:rPr>
          <w:sz w:val="24"/>
          <w:szCs w:val="24"/>
          <w:u w:val="single"/>
        </w:rPr>
      </w:pPr>
    </w:p>
    <w:p w14:paraId="0C34E11C" w14:textId="06A2D8A8" w:rsidR="00A85D6D" w:rsidRPr="0056457A" w:rsidRDefault="00B866F0" w:rsidP="0056457A">
      <w:pPr>
        <w:rPr>
          <w:sz w:val="24"/>
          <w:szCs w:val="24"/>
          <w:u w:val="single"/>
        </w:rPr>
      </w:pPr>
      <w:r>
        <w:rPr>
          <w:sz w:val="24"/>
          <w:szCs w:val="24"/>
          <w:u w:val="single"/>
        </w:rPr>
        <w:br w:type="page"/>
      </w:r>
    </w:p>
    <w:p w14:paraId="711C49A5" w14:textId="77777777" w:rsidR="00A85D6D" w:rsidRDefault="00A85D6D" w:rsidP="001F2E6A">
      <w:pPr>
        <w:spacing w:after="0" w:line="240" w:lineRule="auto"/>
        <w:rPr>
          <w:rFonts w:ascii="Arial" w:hAnsi="Arial" w:cs="Arial"/>
          <w:sz w:val="24"/>
          <w:szCs w:val="24"/>
        </w:rPr>
      </w:pPr>
    </w:p>
    <w:p w14:paraId="39CDBC91" w14:textId="77777777" w:rsidR="00A85D6D" w:rsidRDefault="00A85D6D" w:rsidP="001F2E6A">
      <w:pPr>
        <w:spacing w:after="0" w:line="240" w:lineRule="auto"/>
        <w:rPr>
          <w:rFonts w:ascii="Arial" w:hAnsi="Arial" w:cs="Arial"/>
          <w:sz w:val="24"/>
          <w:szCs w:val="24"/>
        </w:rPr>
      </w:pPr>
    </w:p>
    <w:p w14:paraId="0CDDA93D" w14:textId="2890964B" w:rsidR="007E0B24" w:rsidRPr="0056457A" w:rsidRDefault="007E0B24" w:rsidP="0056457A">
      <w:pPr>
        <w:spacing w:after="0" w:line="240" w:lineRule="auto"/>
        <w:jc w:val="center"/>
        <w:rPr>
          <w:rFonts w:ascii="Arial" w:hAnsi="Arial" w:cs="Arial"/>
          <w:sz w:val="24"/>
          <w:szCs w:val="24"/>
          <w:u w:val="single"/>
        </w:rPr>
      </w:pPr>
      <w:r>
        <w:rPr>
          <w:noProof/>
          <w:lang w:val="en-US"/>
        </w:rPr>
        <w:drawing>
          <wp:inline distT="0" distB="0" distL="0" distR="0" wp14:anchorId="35FC871E" wp14:editId="1B73EDDD">
            <wp:extent cx="2038350" cy="857250"/>
            <wp:effectExtent l="0" t="0" r="0" b="0"/>
            <wp:docPr id="1592324153" name="Picture 2" descr="Trent University Food Service Logo " title="Trent Food Service Logo"/>
            <wp:cNvGraphicFramePr/>
            <a:graphic xmlns:a="http://schemas.openxmlformats.org/drawingml/2006/main">
              <a:graphicData uri="http://schemas.openxmlformats.org/drawingml/2006/picture">
                <pic:pic xmlns:pic="http://schemas.openxmlformats.org/drawingml/2006/picture">
                  <pic:nvPicPr>
                    <pic:cNvPr id="1592324153" name="Picture 1592324153" descr="Trent University Food Service Logo " title="Trent Food Service 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854075"/>
                    </a:xfrm>
                    <a:prstGeom prst="rect">
                      <a:avLst/>
                    </a:prstGeom>
                    <a:noFill/>
                  </pic:spPr>
                </pic:pic>
              </a:graphicData>
            </a:graphic>
          </wp:inline>
        </w:drawing>
      </w:r>
    </w:p>
    <w:p w14:paraId="2EB233A5" w14:textId="77777777" w:rsidR="007E0B24" w:rsidRDefault="007E0B24" w:rsidP="007E0B24">
      <w:pPr>
        <w:spacing w:after="0" w:line="240" w:lineRule="auto"/>
        <w:jc w:val="center"/>
        <w:rPr>
          <w:sz w:val="24"/>
          <w:szCs w:val="24"/>
          <w:u w:val="single"/>
        </w:rPr>
      </w:pPr>
    </w:p>
    <w:p w14:paraId="05741A69" w14:textId="77777777" w:rsidR="007E0B24" w:rsidRDefault="007E0B24" w:rsidP="007E0B24">
      <w:pPr>
        <w:spacing w:after="0" w:line="240" w:lineRule="auto"/>
        <w:jc w:val="center"/>
        <w:rPr>
          <w:sz w:val="36"/>
          <w:szCs w:val="36"/>
        </w:rPr>
      </w:pPr>
      <w:r>
        <w:rPr>
          <w:sz w:val="36"/>
          <w:szCs w:val="36"/>
        </w:rPr>
        <w:t>Trent University Foodservices</w:t>
      </w:r>
    </w:p>
    <w:p w14:paraId="5225DCF9" w14:textId="77777777" w:rsidR="007E0B24" w:rsidRDefault="007E0B24" w:rsidP="007E0B24">
      <w:pPr>
        <w:spacing w:after="0" w:line="240" w:lineRule="auto"/>
        <w:jc w:val="center"/>
        <w:rPr>
          <w:sz w:val="36"/>
          <w:szCs w:val="36"/>
        </w:rPr>
      </w:pPr>
      <w:r>
        <w:rPr>
          <w:sz w:val="36"/>
          <w:szCs w:val="36"/>
        </w:rPr>
        <w:t>Food Services Advisory Committee</w:t>
      </w:r>
    </w:p>
    <w:p w14:paraId="119B2A74" w14:textId="77777777" w:rsidR="007E0B24" w:rsidRDefault="007E0B24" w:rsidP="007E0B24">
      <w:pPr>
        <w:spacing w:after="0" w:line="240" w:lineRule="auto"/>
        <w:jc w:val="center"/>
        <w:rPr>
          <w:sz w:val="36"/>
          <w:szCs w:val="36"/>
        </w:rPr>
      </w:pPr>
      <w:r>
        <w:rPr>
          <w:sz w:val="36"/>
          <w:szCs w:val="36"/>
        </w:rPr>
        <w:t>Operations and Marketing Working Group</w:t>
      </w:r>
    </w:p>
    <w:p w14:paraId="08B8707F" w14:textId="77777777" w:rsidR="007E0B24" w:rsidRDefault="007E0B24" w:rsidP="007E0B24">
      <w:pPr>
        <w:spacing w:after="0" w:line="240" w:lineRule="auto"/>
        <w:jc w:val="center"/>
        <w:rPr>
          <w:rFonts w:ascii="Arial" w:hAnsi="Arial" w:cs="Arial"/>
        </w:rPr>
      </w:pPr>
      <w:r>
        <w:rPr>
          <w:sz w:val="36"/>
          <w:szCs w:val="36"/>
        </w:rPr>
        <w:t>November 4, 2025</w:t>
      </w:r>
    </w:p>
    <w:p w14:paraId="26C06F23" w14:textId="77777777" w:rsidR="007E0B24" w:rsidRDefault="007E0B24" w:rsidP="007E0B24">
      <w:pPr>
        <w:spacing w:after="0" w:line="240" w:lineRule="auto"/>
        <w:jc w:val="center"/>
        <w:rPr>
          <w:sz w:val="36"/>
          <w:szCs w:val="36"/>
        </w:rPr>
      </w:pPr>
    </w:p>
    <w:p w14:paraId="3F7451A1" w14:textId="77777777" w:rsidR="007E0B24" w:rsidRDefault="007E0B24" w:rsidP="007E0B24">
      <w:pPr>
        <w:spacing w:after="0" w:line="240" w:lineRule="auto"/>
        <w:jc w:val="center"/>
        <w:rPr>
          <w:sz w:val="36"/>
          <w:szCs w:val="36"/>
        </w:rPr>
      </w:pPr>
      <w:r>
        <w:rPr>
          <w:sz w:val="36"/>
          <w:szCs w:val="36"/>
        </w:rPr>
        <w:t>MEETING NOTES</w:t>
      </w:r>
    </w:p>
    <w:p w14:paraId="6C6C6501" w14:textId="77777777" w:rsidR="007E0B24" w:rsidRDefault="007E0B24" w:rsidP="007E0B24">
      <w:pPr>
        <w:spacing w:after="0" w:line="240" w:lineRule="auto"/>
        <w:jc w:val="center"/>
        <w:rPr>
          <w:sz w:val="36"/>
          <w:szCs w:val="36"/>
        </w:rPr>
      </w:pPr>
    </w:p>
    <w:p w14:paraId="156BB733" w14:textId="77777777" w:rsidR="007E0B24" w:rsidRDefault="007E0B24" w:rsidP="007E0B24">
      <w:pPr>
        <w:spacing w:after="0" w:line="240" w:lineRule="auto"/>
        <w:rPr>
          <w:rFonts w:ascii="Arial" w:eastAsia="Times New Roman" w:hAnsi="Arial" w:cs="Arial"/>
          <w:color w:val="212121"/>
          <w:sz w:val="24"/>
          <w:szCs w:val="24"/>
          <w:lang w:eastAsia="en-CA"/>
        </w:rPr>
      </w:pPr>
      <w:r>
        <w:rPr>
          <w:rFonts w:ascii="Arial" w:eastAsia="Times New Roman" w:hAnsi="Arial" w:cs="Arial"/>
          <w:color w:val="212121"/>
          <w:sz w:val="24"/>
          <w:szCs w:val="24"/>
          <w:lang w:eastAsia="en-CA"/>
        </w:rPr>
        <w:t>Attendance: Mark Murdoch, Food Services; Christine Thomas, Chartwells; Corine Bolton, Kim Stevens, CUPE 3205; Rylin Wormington, Otonabee Cabinet; Sophie Dorais, Gzowski Cabinet.</w:t>
      </w:r>
    </w:p>
    <w:p w14:paraId="1D3C3D2A" w14:textId="77777777" w:rsidR="0056457A" w:rsidRDefault="0056457A" w:rsidP="007E0B24">
      <w:pPr>
        <w:spacing w:after="0" w:line="240" w:lineRule="auto"/>
        <w:rPr>
          <w:rFonts w:ascii="Arial" w:hAnsi="Arial" w:cs="Arial"/>
          <w:sz w:val="24"/>
          <w:szCs w:val="24"/>
          <w:u w:val="single"/>
        </w:rPr>
      </w:pPr>
    </w:p>
    <w:p w14:paraId="605FDF4A" w14:textId="77777777" w:rsidR="007E0B24" w:rsidRDefault="007E0B24" w:rsidP="007E0B24">
      <w:pPr>
        <w:pStyle w:val="ListParagraph"/>
        <w:numPr>
          <w:ilvl w:val="0"/>
          <w:numId w:val="58"/>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of Meeting Notes of September 30</w:t>
      </w:r>
    </w:p>
    <w:p w14:paraId="590609D3" w14:textId="77777777" w:rsidR="007E0B24" w:rsidRDefault="007E0B24" w:rsidP="007E0B24">
      <w:pPr>
        <w:pStyle w:val="ListParagraph"/>
        <w:numPr>
          <w:ilvl w:val="1"/>
          <w:numId w:val="58"/>
        </w:numPr>
        <w:spacing w:after="0" w:line="240" w:lineRule="auto"/>
        <w:rPr>
          <w:rFonts w:ascii="Arial" w:hAnsi="Arial" w:cs="Arial"/>
          <w:sz w:val="24"/>
          <w:szCs w:val="24"/>
        </w:rPr>
      </w:pPr>
      <w:r>
        <w:rPr>
          <w:rFonts w:ascii="Arial" w:hAnsi="Arial" w:cs="Arial"/>
          <w:sz w:val="24"/>
          <w:szCs w:val="24"/>
        </w:rPr>
        <w:t>No items for follow up</w:t>
      </w:r>
    </w:p>
    <w:p w14:paraId="57B3CBBA" w14:textId="77777777" w:rsidR="007E0B24" w:rsidRDefault="007E0B24" w:rsidP="007E0B24">
      <w:pPr>
        <w:pStyle w:val="ListParagraph"/>
        <w:numPr>
          <w:ilvl w:val="0"/>
          <w:numId w:val="58"/>
        </w:numPr>
        <w:spacing w:line="256" w:lineRule="auto"/>
        <w:rPr>
          <w:rFonts w:ascii="Arial" w:hAnsi="Arial" w:cs="Arial"/>
          <w:sz w:val="24"/>
          <w:szCs w:val="24"/>
        </w:rPr>
      </w:pPr>
      <w:r>
        <w:rPr>
          <w:rFonts w:ascii="Arial" w:hAnsi="Arial" w:cs="Arial"/>
          <w:sz w:val="24"/>
          <w:szCs w:val="24"/>
        </w:rPr>
        <w:t>Harvest Lunch, October 8, Great Hall, pay what you can, supported by campus Food Service partners – Over $1,900 raised for the TCSA One Stop Chop Food Pantry</w:t>
      </w:r>
    </w:p>
    <w:p w14:paraId="279B83E0" w14:textId="77777777" w:rsidR="007E0B24" w:rsidRDefault="007E0B24" w:rsidP="007E0B24">
      <w:pPr>
        <w:pStyle w:val="ListParagraph"/>
        <w:numPr>
          <w:ilvl w:val="0"/>
          <w:numId w:val="58"/>
        </w:numPr>
        <w:spacing w:line="256" w:lineRule="auto"/>
        <w:rPr>
          <w:rFonts w:ascii="Arial" w:hAnsi="Arial" w:cs="Arial"/>
          <w:sz w:val="24"/>
          <w:szCs w:val="24"/>
        </w:rPr>
      </w:pPr>
      <w:r>
        <w:rPr>
          <w:rFonts w:ascii="Arial" w:hAnsi="Arial" w:cs="Arial"/>
          <w:sz w:val="24"/>
          <w:szCs w:val="24"/>
        </w:rPr>
        <w:t xml:space="preserve">Punch-a-Lunch update – to date only 1,628 punches were redeemed.  Mark will engage the TCSA to see how we can increase participation. </w:t>
      </w:r>
    </w:p>
    <w:p w14:paraId="141EF208" w14:textId="53CAFDEB"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 xml:space="preserve">Many items are very low cost after the $5 discount is applied.  For example, pizza slices at OC, Value meals and Small Bites menus that are under $7, soup.  Items on the value menu have this logo Blue V, </w:t>
      </w:r>
      <w:r>
        <w:rPr>
          <w:rFonts w:ascii="Arial" w:hAnsi="Arial" w:cs="Arial"/>
          <w:noProof/>
          <w:sz w:val="24"/>
          <w:szCs w:val="24"/>
        </w:rPr>
        <w:drawing>
          <wp:inline distT="0" distB="0" distL="0" distR="0" wp14:anchorId="33D85265" wp14:editId="4E850681">
            <wp:extent cx="333375" cy="314325"/>
            <wp:effectExtent l="0" t="0" r="9525" b="9525"/>
            <wp:docPr id="647425789" name="Picture 1" descr="A blue and white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25789" name="Picture 1" descr="A blue and white logo with a sta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Pr>
          <w:rFonts w:ascii="Arial" w:hAnsi="Arial" w:cs="Arial"/>
          <w:sz w:val="24"/>
          <w:szCs w:val="24"/>
        </w:rPr>
        <w:t xml:space="preserve">Subway Snackers and Subway Express sandwiches are lower cost, but are not eligible for the Punch-A-Lunch program. </w:t>
      </w:r>
    </w:p>
    <w:p w14:paraId="0237E597" w14:textId="77777777" w:rsidR="007E0B24" w:rsidRDefault="007E0B24" w:rsidP="007E0B24">
      <w:pPr>
        <w:pStyle w:val="ListParagraph"/>
        <w:numPr>
          <w:ilvl w:val="0"/>
          <w:numId w:val="58"/>
        </w:numPr>
        <w:spacing w:line="256" w:lineRule="auto"/>
        <w:rPr>
          <w:rFonts w:ascii="Arial" w:hAnsi="Arial" w:cs="Arial"/>
          <w:sz w:val="24"/>
          <w:szCs w:val="24"/>
        </w:rPr>
      </w:pPr>
      <w:r>
        <w:rPr>
          <w:rFonts w:ascii="Arial" w:hAnsi="Arial" w:cs="Arial"/>
          <w:sz w:val="24"/>
          <w:szCs w:val="24"/>
        </w:rPr>
        <w:t>Tim Horotns update</w:t>
      </w:r>
    </w:p>
    <w:p w14:paraId="356F8CAD" w14:textId="77777777"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Utilization of Mobile Order and Self-Serve kiosks – these two pre-order and pre-pay methods are helping to drive sales and reduce wait time.  The self-order kiosks account for 37% of sales.  Conducting an audit to see if two additional kiosks are warranted.</w:t>
      </w:r>
    </w:p>
    <w:p w14:paraId="137492E2" w14:textId="77777777"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 xml:space="preserve">There were two issues, at the start of the term, that were causing tax-exempt dining plans to be rejected at Tim Hortons.  Most of the issues were related to how the items were coded within the system.  This accounted for about 80% of all the errors.  As each item was identified, it was corrected, and the number of tax-exempt dining plans that were declined decreased.  We believe that all these items have been fixed.  The second item relates to the interpretation of which items qualify for tax exemption.  We are working with Chartwells/Tims to clarify these items.  We believe that the number of items that were in question has been cut in half.  We will continue to seek clarity on the remaining items.  Over the three days following Reading Week there were no declined tax -exempt dining plans at Tim Hortons, so we think the item is substantially resolved.    </w:t>
      </w:r>
    </w:p>
    <w:p w14:paraId="73E2DF5D" w14:textId="77777777" w:rsidR="0056457A" w:rsidRPr="0056457A" w:rsidRDefault="0056457A" w:rsidP="0056457A">
      <w:pPr>
        <w:spacing w:line="256" w:lineRule="auto"/>
        <w:rPr>
          <w:rFonts w:ascii="Arial" w:hAnsi="Arial" w:cs="Arial"/>
          <w:sz w:val="24"/>
          <w:szCs w:val="24"/>
        </w:rPr>
      </w:pPr>
    </w:p>
    <w:p w14:paraId="7A339DE6" w14:textId="77777777" w:rsidR="007E0B24" w:rsidRDefault="007E0B24" w:rsidP="007E0B24">
      <w:pPr>
        <w:pStyle w:val="ListParagraph"/>
        <w:numPr>
          <w:ilvl w:val="0"/>
          <w:numId w:val="58"/>
        </w:numPr>
        <w:spacing w:line="256" w:lineRule="auto"/>
        <w:rPr>
          <w:rFonts w:ascii="Arial" w:hAnsi="Arial" w:cs="Arial"/>
          <w:sz w:val="24"/>
          <w:szCs w:val="24"/>
        </w:rPr>
      </w:pPr>
      <w:r>
        <w:rPr>
          <w:rFonts w:ascii="Arial" w:hAnsi="Arial" w:cs="Arial"/>
          <w:sz w:val="24"/>
          <w:szCs w:val="24"/>
        </w:rPr>
        <w:lastRenderedPageBreak/>
        <w:t>Gzowski Dining Hall update – construction continues.  We hope to have this completed by the end of November.</w:t>
      </w:r>
    </w:p>
    <w:p w14:paraId="293D6A6E" w14:textId="77777777" w:rsidR="007E0B24" w:rsidRDefault="007E0B24" w:rsidP="007E0B24">
      <w:pPr>
        <w:pStyle w:val="ListParagraph"/>
        <w:numPr>
          <w:ilvl w:val="0"/>
          <w:numId w:val="58"/>
        </w:numPr>
        <w:spacing w:line="256" w:lineRule="auto"/>
        <w:rPr>
          <w:rFonts w:ascii="Arial" w:hAnsi="Arial" w:cs="Arial"/>
          <w:sz w:val="24"/>
          <w:szCs w:val="24"/>
        </w:rPr>
      </w:pPr>
      <w:r>
        <w:rPr>
          <w:rFonts w:ascii="Arial" w:hAnsi="Arial" w:cs="Arial"/>
          <w:sz w:val="24"/>
          <w:szCs w:val="24"/>
        </w:rPr>
        <w:t>Bata Bean Amazon Just Walk Out update</w:t>
      </w:r>
    </w:p>
    <w:p w14:paraId="3428CAC3" w14:textId="77777777"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Subway express sandwiches are selling very well.</w:t>
      </w:r>
    </w:p>
    <w:p w14:paraId="1BF77BA6" w14:textId="77777777"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Move from snack/confection to food items</w:t>
      </w:r>
    </w:p>
    <w:p w14:paraId="004F5CDC" w14:textId="77777777"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Revenue up 69% over same period last year.</w:t>
      </w:r>
    </w:p>
    <w:p w14:paraId="7FAA1752" w14:textId="64C044DA"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At some time, as the system becomes be stable, we will move to toward unattended/self-se</w:t>
      </w:r>
      <w:r w:rsidR="00CB6048">
        <w:rPr>
          <w:rFonts w:ascii="Arial" w:hAnsi="Arial" w:cs="Arial"/>
          <w:sz w:val="24"/>
          <w:szCs w:val="24"/>
        </w:rPr>
        <w:t>r</w:t>
      </w:r>
      <w:r>
        <w:rPr>
          <w:rFonts w:ascii="Arial" w:hAnsi="Arial" w:cs="Arial"/>
          <w:sz w:val="24"/>
          <w:szCs w:val="24"/>
        </w:rPr>
        <w:t>ve model for evenings and weekends.</w:t>
      </w:r>
    </w:p>
    <w:p w14:paraId="3B4D95DC" w14:textId="77777777" w:rsidR="007E0B24" w:rsidRDefault="007E0B24" w:rsidP="007E0B24">
      <w:pPr>
        <w:pStyle w:val="ListParagraph"/>
        <w:numPr>
          <w:ilvl w:val="0"/>
          <w:numId w:val="58"/>
        </w:numPr>
        <w:spacing w:line="256" w:lineRule="auto"/>
        <w:rPr>
          <w:rFonts w:ascii="Arial" w:hAnsi="Arial" w:cs="Arial"/>
          <w:sz w:val="24"/>
          <w:szCs w:val="24"/>
        </w:rPr>
      </w:pPr>
      <w:r>
        <w:rPr>
          <w:rFonts w:ascii="Arial" w:hAnsi="Arial" w:cs="Arial"/>
          <w:sz w:val="24"/>
          <w:szCs w:val="24"/>
        </w:rPr>
        <w:t>Other business</w:t>
      </w:r>
    </w:p>
    <w:p w14:paraId="2A7ADE88" w14:textId="77777777" w:rsidR="007E0B24" w:rsidRDefault="007E0B24" w:rsidP="007E0B24">
      <w:pPr>
        <w:pStyle w:val="ListParagraph"/>
        <w:numPr>
          <w:ilvl w:val="1"/>
          <w:numId w:val="58"/>
        </w:numPr>
        <w:spacing w:line="256" w:lineRule="auto"/>
        <w:rPr>
          <w:rFonts w:ascii="Arial" w:hAnsi="Arial" w:cs="Arial"/>
          <w:sz w:val="24"/>
          <w:szCs w:val="24"/>
        </w:rPr>
      </w:pPr>
      <w:r>
        <w:rPr>
          <w:rFonts w:ascii="Arial" w:hAnsi="Arial" w:cs="Arial"/>
          <w:sz w:val="24"/>
          <w:szCs w:val="24"/>
        </w:rPr>
        <w:t xml:space="preserve">Can Dining Plans be used at Tim Hortons self-order kiosks?  Unfortunately this integration is not currently in place and is not planned for the foreseeable future.  </w:t>
      </w:r>
    </w:p>
    <w:p w14:paraId="46B7D76E" w14:textId="77777777" w:rsidR="007E0B24" w:rsidRDefault="007E0B24" w:rsidP="007E0B24">
      <w:pPr>
        <w:pStyle w:val="ListParagraph"/>
        <w:numPr>
          <w:ilvl w:val="0"/>
          <w:numId w:val="58"/>
        </w:numPr>
        <w:spacing w:line="256" w:lineRule="auto"/>
        <w:rPr>
          <w:sz w:val="24"/>
          <w:szCs w:val="24"/>
          <w:u w:val="single"/>
        </w:rPr>
      </w:pPr>
      <w:r>
        <w:rPr>
          <w:rFonts w:ascii="Arial" w:hAnsi="Arial" w:cs="Arial"/>
          <w:sz w:val="24"/>
          <w:szCs w:val="24"/>
        </w:rPr>
        <w:t>Next meeting December 2, 9:00 – 10:30 by TEAMS</w:t>
      </w:r>
    </w:p>
    <w:p w14:paraId="15D07081" w14:textId="77777777" w:rsidR="007E0B24" w:rsidRDefault="007E0B24" w:rsidP="007E0B24">
      <w:pPr>
        <w:spacing w:after="0" w:line="240" w:lineRule="auto"/>
        <w:jc w:val="center"/>
        <w:rPr>
          <w:sz w:val="24"/>
          <w:szCs w:val="24"/>
          <w:u w:val="single"/>
        </w:rPr>
      </w:pPr>
    </w:p>
    <w:p w14:paraId="7878BAA9" w14:textId="77777777" w:rsidR="007E0B24" w:rsidRDefault="007E0B24" w:rsidP="007E0B24">
      <w:pPr>
        <w:spacing w:after="0" w:line="240" w:lineRule="auto"/>
        <w:jc w:val="center"/>
        <w:rPr>
          <w:sz w:val="24"/>
          <w:szCs w:val="24"/>
          <w:u w:val="single"/>
        </w:rPr>
      </w:pPr>
    </w:p>
    <w:p w14:paraId="4A9DCF45" w14:textId="77777777" w:rsidR="007E0B24" w:rsidRDefault="007E0B24" w:rsidP="007E0B24">
      <w:pPr>
        <w:spacing w:after="0" w:line="240" w:lineRule="auto"/>
        <w:jc w:val="center"/>
        <w:rPr>
          <w:sz w:val="24"/>
          <w:szCs w:val="24"/>
          <w:u w:val="single"/>
        </w:rPr>
      </w:pPr>
    </w:p>
    <w:p w14:paraId="232556DF" w14:textId="77777777" w:rsidR="007E0B24" w:rsidRDefault="007E0B24" w:rsidP="007E0B24">
      <w:pPr>
        <w:rPr>
          <w:sz w:val="24"/>
          <w:szCs w:val="24"/>
          <w:u w:val="single"/>
        </w:rPr>
      </w:pPr>
    </w:p>
    <w:p w14:paraId="6A826374" w14:textId="77777777" w:rsidR="007E0B24" w:rsidRDefault="007E0B24" w:rsidP="007E0B24">
      <w:pPr>
        <w:spacing w:after="0" w:line="240" w:lineRule="auto"/>
        <w:jc w:val="center"/>
        <w:rPr>
          <w:sz w:val="24"/>
          <w:szCs w:val="24"/>
          <w:u w:val="single"/>
        </w:rPr>
      </w:pPr>
    </w:p>
    <w:p w14:paraId="272E4D0E" w14:textId="77777777" w:rsidR="007E0B24" w:rsidRDefault="007E0B24" w:rsidP="007E0B24">
      <w:pPr>
        <w:spacing w:after="0" w:line="240" w:lineRule="auto"/>
        <w:jc w:val="center"/>
        <w:rPr>
          <w:sz w:val="24"/>
          <w:szCs w:val="24"/>
          <w:u w:val="single"/>
        </w:rPr>
      </w:pPr>
    </w:p>
    <w:p w14:paraId="364EEBDA" w14:textId="77777777" w:rsidR="007E0B24" w:rsidRDefault="007E0B24" w:rsidP="007E0B24">
      <w:pPr>
        <w:rPr>
          <w:sz w:val="24"/>
          <w:szCs w:val="24"/>
          <w:u w:val="single"/>
        </w:rPr>
      </w:pPr>
    </w:p>
    <w:p w14:paraId="0CBAD4E7" w14:textId="77777777" w:rsidR="007E0B24" w:rsidRDefault="007E0B24" w:rsidP="007E0B24">
      <w:pPr>
        <w:spacing w:after="0" w:line="240" w:lineRule="auto"/>
        <w:jc w:val="center"/>
        <w:rPr>
          <w:sz w:val="24"/>
          <w:szCs w:val="24"/>
          <w:u w:val="single"/>
        </w:rPr>
      </w:pPr>
    </w:p>
    <w:p w14:paraId="01979565" w14:textId="77777777" w:rsidR="00943342" w:rsidRDefault="00943342" w:rsidP="00943342">
      <w:pPr>
        <w:pStyle w:val="Default"/>
        <w:jc w:val="center"/>
        <w:rPr>
          <w:b/>
          <w:bCs/>
          <w:color w:val="auto"/>
          <w:sz w:val="22"/>
          <w:szCs w:val="22"/>
        </w:rPr>
      </w:pPr>
    </w:p>
    <w:p w14:paraId="2C9AC154" w14:textId="77777777" w:rsidR="00EC4C0A" w:rsidRDefault="00EC4C0A" w:rsidP="00080F68">
      <w:pPr>
        <w:spacing w:after="0" w:line="240" w:lineRule="auto"/>
        <w:rPr>
          <w:sz w:val="24"/>
          <w:szCs w:val="24"/>
        </w:rPr>
        <w:sectPr w:rsidR="00EC4C0A" w:rsidSect="00B866F0">
          <w:pgSz w:w="12240" w:h="15840"/>
          <w:pgMar w:top="720" w:right="720" w:bottom="720" w:left="720" w:header="720" w:footer="720" w:gutter="0"/>
          <w:cols w:space="720"/>
          <w:docGrid w:linePitch="360"/>
        </w:sectPr>
      </w:pPr>
      <w:bookmarkStart w:id="1" w:name="_Hlk115778855"/>
      <w:bookmarkStart w:id="2" w:name="_Hlk120622514"/>
      <w:bookmarkStart w:id="3" w:name="_Hlk125450736"/>
    </w:p>
    <w:p w14:paraId="2388B517" w14:textId="77777777" w:rsidR="00E93E44" w:rsidRDefault="00E93E44" w:rsidP="00E93E44">
      <w:pPr>
        <w:spacing w:after="0" w:line="240" w:lineRule="auto"/>
        <w:jc w:val="center"/>
        <w:rPr>
          <w:sz w:val="24"/>
          <w:szCs w:val="24"/>
          <w:u w:val="single"/>
        </w:rPr>
      </w:pPr>
      <w:r w:rsidRPr="001445BF">
        <w:rPr>
          <w:noProof/>
          <w:sz w:val="24"/>
          <w:szCs w:val="24"/>
          <w:lang w:val="en-US"/>
        </w:rPr>
        <w:lastRenderedPageBreak/>
        <w:drawing>
          <wp:inline distT="0" distB="0" distL="0" distR="0" wp14:anchorId="2A4335AA" wp14:editId="6F6E927F">
            <wp:extent cx="1487805" cy="621665"/>
            <wp:effectExtent l="0" t="0" r="0" b="6985"/>
            <wp:docPr id="1536861451" name="Picture 153686145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61451" name="Picture 1536861451" descr="A close 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621665"/>
                    </a:xfrm>
                    <a:prstGeom prst="rect">
                      <a:avLst/>
                    </a:prstGeom>
                    <a:noFill/>
                  </pic:spPr>
                </pic:pic>
              </a:graphicData>
            </a:graphic>
          </wp:inline>
        </w:drawing>
      </w:r>
    </w:p>
    <w:p w14:paraId="4E97E99A" w14:textId="77777777" w:rsidR="00E93E44" w:rsidRDefault="00E93E44" w:rsidP="00E93E44">
      <w:pPr>
        <w:spacing w:after="0" w:line="240" w:lineRule="auto"/>
        <w:jc w:val="center"/>
        <w:rPr>
          <w:sz w:val="24"/>
          <w:szCs w:val="24"/>
          <w:u w:val="single"/>
        </w:rPr>
      </w:pPr>
    </w:p>
    <w:p w14:paraId="34E9A644" w14:textId="77777777" w:rsidR="00E93E44" w:rsidRDefault="00E93E44" w:rsidP="00E93E44">
      <w:pPr>
        <w:spacing w:after="0" w:line="240" w:lineRule="auto"/>
        <w:jc w:val="center"/>
        <w:rPr>
          <w:sz w:val="36"/>
          <w:szCs w:val="36"/>
        </w:rPr>
      </w:pPr>
      <w:r w:rsidRPr="005A3D8E">
        <w:rPr>
          <w:sz w:val="36"/>
          <w:szCs w:val="36"/>
        </w:rPr>
        <w:t>Foodservice Advisory Committee</w:t>
      </w:r>
    </w:p>
    <w:p w14:paraId="029C5912" w14:textId="77777777" w:rsidR="00E93E44" w:rsidRPr="005A3D8E" w:rsidRDefault="00E93E44" w:rsidP="00E93E44">
      <w:pPr>
        <w:spacing w:after="0" w:line="240" w:lineRule="auto"/>
        <w:jc w:val="center"/>
        <w:rPr>
          <w:sz w:val="36"/>
          <w:szCs w:val="36"/>
        </w:rPr>
      </w:pPr>
      <w:r>
        <w:rPr>
          <w:sz w:val="36"/>
          <w:szCs w:val="36"/>
        </w:rPr>
        <w:t>Budget Working Group</w:t>
      </w:r>
    </w:p>
    <w:p w14:paraId="4311BD43" w14:textId="77777777" w:rsidR="00E93E44" w:rsidRDefault="00E93E44" w:rsidP="00E93E44">
      <w:pPr>
        <w:spacing w:after="0" w:line="240" w:lineRule="auto"/>
        <w:jc w:val="center"/>
        <w:rPr>
          <w:sz w:val="36"/>
          <w:szCs w:val="36"/>
        </w:rPr>
      </w:pPr>
      <w:r>
        <w:rPr>
          <w:sz w:val="36"/>
          <w:szCs w:val="36"/>
        </w:rPr>
        <w:t>November 4, 2025</w:t>
      </w:r>
    </w:p>
    <w:p w14:paraId="1A969640" w14:textId="77777777" w:rsidR="00E93E44" w:rsidRDefault="00E93E44" w:rsidP="00E93E44">
      <w:pPr>
        <w:spacing w:after="0" w:line="240" w:lineRule="auto"/>
        <w:jc w:val="center"/>
        <w:rPr>
          <w:sz w:val="36"/>
          <w:szCs w:val="36"/>
        </w:rPr>
      </w:pPr>
    </w:p>
    <w:p w14:paraId="1E0ED6BD" w14:textId="77777777" w:rsidR="00E93E44" w:rsidRDefault="00E93E44" w:rsidP="00E93E44">
      <w:pPr>
        <w:spacing w:after="0" w:line="240" w:lineRule="auto"/>
        <w:jc w:val="center"/>
        <w:rPr>
          <w:sz w:val="36"/>
          <w:szCs w:val="36"/>
        </w:rPr>
      </w:pPr>
      <w:r>
        <w:rPr>
          <w:sz w:val="36"/>
          <w:szCs w:val="36"/>
        </w:rPr>
        <w:t>MEETING NOTES</w:t>
      </w:r>
    </w:p>
    <w:p w14:paraId="3A50E10F" w14:textId="77777777" w:rsidR="00E93E44" w:rsidRPr="00AF6CB1" w:rsidRDefault="00E93E44" w:rsidP="00E93E44">
      <w:pPr>
        <w:spacing w:after="0" w:line="240" w:lineRule="auto"/>
        <w:rPr>
          <w:rFonts w:ascii="Arial" w:hAnsi="Arial" w:cs="Arial"/>
          <w:sz w:val="24"/>
          <w:szCs w:val="24"/>
          <w:u w:val="single"/>
        </w:rPr>
      </w:pPr>
    </w:p>
    <w:p w14:paraId="4BD6D277" w14:textId="77777777" w:rsidR="00E93E44" w:rsidRPr="00AF6CB1" w:rsidRDefault="00E93E44" w:rsidP="00E93E44">
      <w:pPr>
        <w:spacing w:after="0" w:line="240" w:lineRule="auto"/>
        <w:rPr>
          <w:rFonts w:ascii="Arial" w:eastAsia="Times New Roman" w:hAnsi="Arial" w:cs="Arial"/>
          <w:color w:val="212121"/>
          <w:sz w:val="24"/>
          <w:szCs w:val="24"/>
          <w:lang w:eastAsia="en-CA"/>
        </w:rPr>
      </w:pPr>
    </w:p>
    <w:p w14:paraId="0B550D27" w14:textId="77777777" w:rsidR="00E93E44" w:rsidRDefault="00E93E44" w:rsidP="00E93E44">
      <w:pPr>
        <w:spacing w:after="0" w:line="240" w:lineRule="auto"/>
        <w:rPr>
          <w:rFonts w:ascii="Arial" w:eastAsia="Times New Roman" w:hAnsi="Arial" w:cs="Arial"/>
          <w:color w:val="212121"/>
          <w:sz w:val="24"/>
          <w:szCs w:val="24"/>
          <w:lang w:eastAsia="en-CA"/>
        </w:rPr>
      </w:pPr>
      <w:r w:rsidRPr="00A54288">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Sarah Ovens, LEC Cabinet; Chris Nelan, Durham; Rachel Marcus, OC Cabinet; Wenita Kirkby, Student Housing; Laszlo Ban, Gzowski College.</w:t>
      </w:r>
    </w:p>
    <w:p w14:paraId="58E6568D" w14:textId="77777777" w:rsidR="00E93E44" w:rsidRPr="00A54288" w:rsidRDefault="00E93E44" w:rsidP="00E93E44">
      <w:pPr>
        <w:spacing w:after="0" w:line="240" w:lineRule="auto"/>
        <w:rPr>
          <w:rFonts w:ascii="Arial" w:hAnsi="Arial" w:cs="Arial"/>
          <w:sz w:val="24"/>
          <w:szCs w:val="24"/>
          <w:u w:val="single"/>
        </w:rPr>
      </w:pPr>
    </w:p>
    <w:p w14:paraId="179340B5" w14:textId="77777777" w:rsidR="00E93E44" w:rsidRPr="00287A31" w:rsidRDefault="00E93E44" w:rsidP="00714FAF">
      <w:pPr>
        <w:pStyle w:val="ListParagraph"/>
        <w:numPr>
          <w:ilvl w:val="0"/>
          <w:numId w:val="6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Meeting Notes of September 30</w:t>
      </w:r>
    </w:p>
    <w:p w14:paraId="07261F4C" w14:textId="77777777" w:rsidR="00E93E44" w:rsidRPr="00A02C5D" w:rsidRDefault="00E93E44" w:rsidP="00714FAF">
      <w:pPr>
        <w:pStyle w:val="ListParagraph"/>
        <w:numPr>
          <w:ilvl w:val="0"/>
          <w:numId w:val="6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New DRAFT Food Service Budget for 202602027 attached.</w:t>
      </w:r>
    </w:p>
    <w:p w14:paraId="5C8B5B48" w14:textId="77777777" w:rsidR="00E93E44" w:rsidRPr="00F018D8" w:rsidRDefault="00E93E44" w:rsidP="00714FAF">
      <w:pPr>
        <w:pStyle w:val="ListParagraph"/>
        <w:numPr>
          <w:ilvl w:val="1"/>
          <w:numId w:val="6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The only item of concern that was not previously included was changs to the rate of increases for utilities.  For the first budget, a general increase of 10% was anticipated.  We now have confirmation that the increases will be 3% for water, 26.6% for Gas and 11% for electricity.  This has only a minor impact on the overall costs, about $5 per bed, so we will just ignore the additional cost.</w:t>
      </w:r>
    </w:p>
    <w:p w14:paraId="6939CD98" w14:textId="77777777" w:rsidR="00E93E44" w:rsidRDefault="00E93E44" w:rsidP="00E93E44">
      <w:pPr>
        <w:pStyle w:val="ListParagraph"/>
        <w:spacing w:after="0" w:line="240" w:lineRule="auto"/>
        <w:rPr>
          <w:rFonts w:ascii="Arial" w:eastAsia="Times New Roman" w:hAnsi="Arial" w:cs="Arial"/>
          <w:color w:val="212121"/>
          <w:sz w:val="24"/>
          <w:szCs w:val="24"/>
          <w:lang w:eastAsia="en-CA"/>
        </w:rPr>
      </w:pPr>
    </w:p>
    <w:p w14:paraId="69912465" w14:textId="77777777" w:rsidR="00E93E44" w:rsidRDefault="00E93E44" w:rsidP="00E93E44">
      <w:pPr>
        <w:pStyle w:val="ListParagraph"/>
        <w:spacing w:after="0" w:line="240" w:lineRule="auto"/>
        <w:jc w:val="center"/>
        <w:rPr>
          <w:rFonts w:ascii="Arial" w:eastAsia="Times New Roman" w:hAnsi="Arial" w:cs="Arial"/>
          <w:color w:val="212121"/>
          <w:sz w:val="24"/>
          <w:szCs w:val="24"/>
          <w:lang w:eastAsia="en-CA"/>
        </w:rPr>
      </w:pPr>
      <w:r w:rsidRPr="00F018D8">
        <w:rPr>
          <w:noProof/>
        </w:rPr>
        <w:drawing>
          <wp:inline distT="0" distB="0" distL="0" distR="0" wp14:anchorId="7FF706DF" wp14:editId="42CF9937">
            <wp:extent cx="4295775" cy="971550"/>
            <wp:effectExtent l="0" t="0" r="9525" b="0"/>
            <wp:docPr id="104274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5775" cy="971550"/>
                    </a:xfrm>
                    <a:prstGeom prst="rect">
                      <a:avLst/>
                    </a:prstGeom>
                    <a:noFill/>
                    <a:ln>
                      <a:noFill/>
                    </a:ln>
                  </pic:spPr>
                </pic:pic>
              </a:graphicData>
            </a:graphic>
          </wp:inline>
        </w:drawing>
      </w:r>
    </w:p>
    <w:p w14:paraId="002E3147" w14:textId="77777777" w:rsidR="00E93E44" w:rsidRPr="00F018D8" w:rsidRDefault="00E93E44" w:rsidP="00E93E44">
      <w:pPr>
        <w:pStyle w:val="ListParagraph"/>
        <w:spacing w:after="0" w:line="240" w:lineRule="auto"/>
        <w:rPr>
          <w:rFonts w:ascii="Arial" w:hAnsi="Arial" w:cs="Arial"/>
          <w:sz w:val="24"/>
          <w:szCs w:val="24"/>
          <w:u w:val="single"/>
        </w:rPr>
      </w:pPr>
    </w:p>
    <w:p w14:paraId="07252A91" w14:textId="77777777" w:rsidR="00E93E44" w:rsidRPr="00795063" w:rsidRDefault="00E93E44" w:rsidP="00714FAF">
      <w:pPr>
        <w:pStyle w:val="ListParagraph"/>
        <w:numPr>
          <w:ilvl w:val="0"/>
          <w:numId w:val="61"/>
        </w:numPr>
        <w:spacing w:after="0" w:line="240" w:lineRule="auto"/>
        <w:rPr>
          <w:rFonts w:ascii="Arial" w:hAnsi="Arial" w:cs="Arial"/>
          <w:sz w:val="24"/>
          <w:szCs w:val="24"/>
        </w:rPr>
      </w:pPr>
      <w:r w:rsidRPr="00795063">
        <w:rPr>
          <w:rFonts w:ascii="Arial" w:hAnsi="Arial" w:cs="Arial"/>
          <w:sz w:val="24"/>
          <w:szCs w:val="24"/>
        </w:rPr>
        <w:t>The proposal is to maintain the rates that were previously shared, and as shown below.</w:t>
      </w:r>
    </w:p>
    <w:p w14:paraId="37DEB1E1" w14:textId="77777777" w:rsidR="00E93E44" w:rsidRPr="00795063" w:rsidRDefault="00E93E44" w:rsidP="00E93E44">
      <w:pPr>
        <w:spacing w:after="0" w:line="240" w:lineRule="auto"/>
        <w:rPr>
          <w:rFonts w:ascii="Arial" w:hAnsi="Arial" w:cs="Arial"/>
          <w:sz w:val="24"/>
          <w:szCs w:val="24"/>
        </w:rPr>
      </w:pPr>
    </w:p>
    <w:p w14:paraId="755AC53D" w14:textId="77777777" w:rsidR="00E93E44" w:rsidRDefault="00E93E44" w:rsidP="00E93E44">
      <w:pPr>
        <w:spacing w:after="0" w:line="240" w:lineRule="auto"/>
        <w:rPr>
          <w:rFonts w:ascii="Arial" w:hAnsi="Arial" w:cs="Arial"/>
          <w:sz w:val="24"/>
          <w:szCs w:val="24"/>
          <w:u w:val="single"/>
        </w:rPr>
      </w:pPr>
    </w:p>
    <w:p w14:paraId="364DB523" w14:textId="77777777" w:rsidR="00E93E44" w:rsidRPr="00BB1100" w:rsidRDefault="00E93E44" w:rsidP="00E93E44">
      <w:pPr>
        <w:spacing w:after="0" w:line="240" w:lineRule="auto"/>
        <w:rPr>
          <w:rFonts w:ascii="Arial" w:hAnsi="Arial" w:cs="Arial"/>
          <w:sz w:val="24"/>
          <w:szCs w:val="24"/>
          <w:u w:val="single"/>
        </w:rPr>
      </w:pPr>
    </w:p>
    <w:p w14:paraId="5E2AE2D8" w14:textId="77777777" w:rsidR="00E93E44" w:rsidRDefault="00E93E44" w:rsidP="00E93E44">
      <w:pPr>
        <w:spacing w:after="0" w:line="240" w:lineRule="auto"/>
        <w:jc w:val="center"/>
        <w:rPr>
          <w:noProof/>
          <w:sz w:val="24"/>
          <w:szCs w:val="24"/>
          <w:lang w:val="en-US"/>
        </w:rPr>
      </w:pPr>
    </w:p>
    <w:p w14:paraId="2E4D5E39" w14:textId="77777777" w:rsidR="00E93E44" w:rsidRDefault="00E93E44" w:rsidP="00E93E44">
      <w:pPr>
        <w:rPr>
          <w:noProof/>
          <w:sz w:val="24"/>
          <w:szCs w:val="24"/>
          <w:lang w:val="en-US"/>
        </w:rPr>
      </w:pPr>
      <w:r>
        <w:rPr>
          <w:noProof/>
          <w:sz w:val="24"/>
          <w:szCs w:val="24"/>
          <w:lang w:val="en-US"/>
        </w:rPr>
        <w:br w:type="page"/>
      </w:r>
    </w:p>
    <w:p w14:paraId="69247DCE" w14:textId="77777777" w:rsidR="00E93E44" w:rsidRDefault="00E93E44" w:rsidP="00E93E44">
      <w:pPr>
        <w:jc w:val="center"/>
        <w:rPr>
          <w:rFonts w:ascii="Arial" w:hAnsi="Arial" w:cs="Arial"/>
          <w:color w:val="FF0000"/>
          <w:sz w:val="24"/>
          <w:szCs w:val="24"/>
        </w:rPr>
      </w:pPr>
      <w:r>
        <w:rPr>
          <w:rFonts w:ascii="Arial" w:hAnsi="Arial" w:cs="Arial"/>
          <w:color w:val="FF0000"/>
          <w:sz w:val="24"/>
          <w:szCs w:val="24"/>
        </w:rPr>
        <w:lastRenderedPageBreak/>
        <w:t>DRAFT FOOD SERVICE BUDGET 2026-2027</w:t>
      </w:r>
    </w:p>
    <w:p w14:paraId="37FB4484" w14:textId="77777777" w:rsidR="00E93E44" w:rsidRDefault="00E93E44" w:rsidP="00E93E44">
      <w:pPr>
        <w:jc w:val="center"/>
        <w:rPr>
          <w:rFonts w:ascii="Arial" w:hAnsi="Arial" w:cs="Arial"/>
          <w:color w:val="FF0000"/>
          <w:sz w:val="24"/>
          <w:szCs w:val="24"/>
        </w:rPr>
      </w:pPr>
      <w:r>
        <w:rPr>
          <w:rFonts w:ascii="Arial" w:hAnsi="Arial" w:cs="Arial"/>
          <w:color w:val="FF0000"/>
          <w:sz w:val="24"/>
          <w:szCs w:val="24"/>
        </w:rPr>
        <w:t>DOES NOT INCLUDE ADJUSTEMENT FOR CEILIE AND STARBUCKS</w:t>
      </w:r>
    </w:p>
    <w:p w14:paraId="3D805F62" w14:textId="77777777" w:rsidR="00E93E44" w:rsidRDefault="00E93E44" w:rsidP="00E93E44">
      <w:pPr>
        <w:jc w:val="center"/>
        <w:rPr>
          <w:rFonts w:ascii="Arial" w:hAnsi="Arial" w:cs="Arial"/>
          <w:color w:val="FF0000"/>
          <w:sz w:val="24"/>
          <w:szCs w:val="24"/>
        </w:rPr>
      </w:pPr>
    </w:p>
    <w:p w14:paraId="00D80DDE" w14:textId="77777777" w:rsidR="00E93E44" w:rsidRDefault="00E93E44" w:rsidP="00E93E44">
      <w:pPr>
        <w:jc w:val="center"/>
        <w:rPr>
          <w:rFonts w:ascii="Arial" w:hAnsi="Arial" w:cs="Arial"/>
          <w:color w:val="FF0000"/>
          <w:sz w:val="24"/>
          <w:szCs w:val="24"/>
        </w:rPr>
      </w:pPr>
      <w:r w:rsidRPr="00735DDA">
        <w:rPr>
          <w:noProof/>
        </w:rPr>
        <w:drawing>
          <wp:inline distT="0" distB="0" distL="0" distR="0" wp14:anchorId="3135A4BA" wp14:editId="71FD53ED">
            <wp:extent cx="5943600" cy="4353560"/>
            <wp:effectExtent l="0" t="0" r="0" b="8890"/>
            <wp:docPr id="1558181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353560"/>
                    </a:xfrm>
                    <a:prstGeom prst="rect">
                      <a:avLst/>
                    </a:prstGeom>
                    <a:noFill/>
                    <a:ln>
                      <a:noFill/>
                    </a:ln>
                  </pic:spPr>
                </pic:pic>
              </a:graphicData>
            </a:graphic>
          </wp:inline>
        </w:drawing>
      </w:r>
    </w:p>
    <w:p w14:paraId="7B98BA43" w14:textId="77777777" w:rsidR="00E93E44" w:rsidRDefault="00E93E44" w:rsidP="00E93E44">
      <w:pPr>
        <w:jc w:val="center"/>
        <w:rPr>
          <w:rFonts w:ascii="Arial" w:hAnsi="Arial" w:cs="Arial"/>
          <w:color w:val="FF0000"/>
          <w:sz w:val="24"/>
          <w:szCs w:val="24"/>
        </w:rPr>
      </w:pPr>
    </w:p>
    <w:p w14:paraId="2D2E9A86" w14:textId="77777777" w:rsidR="00E93E44" w:rsidRDefault="00E93E44" w:rsidP="00E93E44">
      <w:pPr>
        <w:jc w:val="center"/>
        <w:rPr>
          <w:rFonts w:ascii="Arial" w:hAnsi="Arial" w:cs="Arial"/>
          <w:color w:val="FF0000"/>
          <w:sz w:val="24"/>
          <w:szCs w:val="24"/>
        </w:rPr>
      </w:pPr>
    </w:p>
    <w:p w14:paraId="6FEAC132" w14:textId="77777777" w:rsidR="00E93E44" w:rsidRDefault="00E93E44" w:rsidP="00E93E44">
      <w:pPr>
        <w:jc w:val="center"/>
        <w:rPr>
          <w:rFonts w:ascii="Arial" w:hAnsi="Arial" w:cs="Arial"/>
          <w:color w:val="FF0000"/>
          <w:sz w:val="24"/>
          <w:szCs w:val="24"/>
        </w:rPr>
      </w:pPr>
    </w:p>
    <w:p w14:paraId="1C02960D" w14:textId="77777777" w:rsidR="00E93E44" w:rsidRDefault="00E93E44" w:rsidP="00E93E44">
      <w:pPr>
        <w:jc w:val="center"/>
        <w:rPr>
          <w:rFonts w:ascii="Arial" w:hAnsi="Arial" w:cs="Arial"/>
          <w:color w:val="FF0000"/>
          <w:sz w:val="24"/>
          <w:szCs w:val="24"/>
        </w:rPr>
      </w:pPr>
    </w:p>
    <w:p w14:paraId="2A432001" w14:textId="77777777" w:rsidR="00E93E44" w:rsidRDefault="00E93E44" w:rsidP="00E93E44">
      <w:pPr>
        <w:jc w:val="center"/>
        <w:rPr>
          <w:rFonts w:ascii="Arial" w:hAnsi="Arial" w:cs="Arial"/>
          <w:color w:val="FF0000"/>
          <w:sz w:val="24"/>
          <w:szCs w:val="24"/>
        </w:rPr>
      </w:pPr>
    </w:p>
    <w:p w14:paraId="6C2F9170" w14:textId="77777777" w:rsidR="00E93E44" w:rsidRDefault="00E93E44" w:rsidP="00E93E44">
      <w:pPr>
        <w:jc w:val="center"/>
        <w:rPr>
          <w:rFonts w:ascii="Arial" w:hAnsi="Arial" w:cs="Arial"/>
          <w:color w:val="FF0000"/>
          <w:sz w:val="24"/>
          <w:szCs w:val="24"/>
        </w:rPr>
      </w:pPr>
    </w:p>
    <w:p w14:paraId="77EB7609" w14:textId="77777777" w:rsidR="00E93E44" w:rsidRDefault="00E93E44" w:rsidP="00E93E44">
      <w:pPr>
        <w:jc w:val="center"/>
        <w:rPr>
          <w:rFonts w:ascii="Arial" w:hAnsi="Arial" w:cs="Arial"/>
          <w:color w:val="FF0000"/>
          <w:sz w:val="24"/>
          <w:szCs w:val="24"/>
        </w:rPr>
      </w:pPr>
    </w:p>
    <w:p w14:paraId="1F1C3D52" w14:textId="77777777" w:rsidR="00E93E44" w:rsidRDefault="00E93E44" w:rsidP="00E93E44">
      <w:pPr>
        <w:jc w:val="center"/>
        <w:rPr>
          <w:rFonts w:ascii="Arial" w:hAnsi="Arial" w:cs="Arial"/>
          <w:color w:val="FF0000"/>
          <w:sz w:val="24"/>
          <w:szCs w:val="24"/>
        </w:rPr>
      </w:pPr>
    </w:p>
    <w:p w14:paraId="1969249E" w14:textId="77777777" w:rsidR="00E93E44" w:rsidRDefault="00E93E44" w:rsidP="00E93E44">
      <w:pPr>
        <w:jc w:val="center"/>
        <w:rPr>
          <w:rFonts w:ascii="Arial" w:hAnsi="Arial" w:cs="Arial"/>
          <w:color w:val="FF0000"/>
          <w:sz w:val="24"/>
          <w:szCs w:val="24"/>
        </w:rPr>
      </w:pPr>
    </w:p>
    <w:p w14:paraId="71AE9338" w14:textId="77777777" w:rsidR="00E93E44" w:rsidRDefault="00E93E44" w:rsidP="00E93E44">
      <w:pPr>
        <w:jc w:val="center"/>
        <w:rPr>
          <w:rFonts w:ascii="Arial" w:hAnsi="Arial" w:cs="Arial"/>
          <w:color w:val="FF0000"/>
          <w:sz w:val="24"/>
          <w:szCs w:val="24"/>
        </w:rPr>
      </w:pPr>
    </w:p>
    <w:p w14:paraId="5152B2AB" w14:textId="77777777" w:rsidR="00E93E44" w:rsidRDefault="00E93E44" w:rsidP="00E93E44">
      <w:pPr>
        <w:jc w:val="center"/>
        <w:rPr>
          <w:rFonts w:ascii="Arial" w:hAnsi="Arial" w:cs="Arial"/>
          <w:color w:val="FF0000"/>
          <w:sz w:val="24"/>
          <w:szCs w:val="24"/>
        </w:rPr>
      </w:pPr>
      <w:r w:rsidRPr="00A620D3">
        <w:rPr>
          <w:noProof/>
        </w:rPr>
        <w:lastRenderedPageBreak/>
        <w:drawing>
          <wp:inline distT="0" distB="0" distL="0" distR="0" wp14:anchorId="1E899B91" wp14:editId="2021D5E1">
            <wp:extent cx="4718685" cy="8229600"/>
            <wp:effectExtent l="0" t="0" r="5715" b="0"/>
            <wp:docPr id="328260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8685" cy="8229600"/>
                    </a:xfrm>
                    <a:prstGeom prst="rect">
                      <a:avLst/>
                    </a:prstGeom>
                    <a:noFill/>
                    <a:ln>
                      <a:noFill/>
                    </a:ln>
                  </pic:spPr>
                </pic:pic>
              </a:graphicData>
            </a:graphic>
          </wp:inline>
        </w:drawing>
      </w:r>
    </w:p>
    <w:p w14:paraId="6C9D368A" w14:textId="77777777" w:rsidR="00E93E44" w:rsidRDefault="00E93E44" w:rsidP="00E93E44">
      <w:pPr>
        <w:jc w:val="center"/>
        <w:rPr>
          <w:rFonts w:ascii="Arial" w:hAnsi="Arial" w:cs="Arial"/>
          <w:color w:val="FF0000"/>
          <w:sz w:val="24"/>
          <w:szCs w:val="24"/>
        </w:rPr>
      </w:pPr>
      <w:r w:rsidRPr="00EB7F0B">
        <w:rPr>
          <w:noProof/>
        </w:rPr>
        <w:lastRenderedPageBreak/>
        <w:drawing>
          <wp:inline distT="0" distB="0" distL="0" distR="0" wp14:anchorId="4D16E829" wp14:editId="02D55B6B">
            <wp:extent cx="5943600" cy="7193915"/>
            <wp:effectExtent l="0" t="0" r="0" b="6985"/>
            <wp:docPr id="1394764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193915"/>
                    </a:xfrm>
                    <a:prstGeom prst="rect">
                      <a:avLst/>
                    </a:prstGeom>
                    <a:noFill/>
                    <a:ln>
                      <a:noFill/>
                    </a:ln>
                  </pic:spPr>
                </pic:pic>
              </a:graphicData>
            </a:graphic>
          </wp:inline>
        </w:drawing>
      </w:r>
    </w:p>
    <w:p w14:paraId="664245F7" w14:textId="77777777" w:rsidR="00E93E44" w:rsidRDefault="00E93E44" w:rsidP="00E93E44">
      <w:pPr>
        <w:jc w:val="center"/>
        <w:rPr>
          <w:rFonts w:ascii="Arial" w:hAnsi="Arial" w:cs="Arial"/>
          <w:color w:val="FF0000"/>
          <w:sz w:val="24"/>
          <w:szCs w:val="24"/>
        </w:rPr>
      </w:pPr>
    </w:p>
    <w:p w14:paraId="1782FC0F" w14:textId="77777777" w:rsidR="00E93E44" w:rsidRDefault="00E93E44" w:rsidP="00E93E44">
      <w:pPr>
        <w:jc w:val="center"/>
        <w:rPr>
          <w:rFonts w:ascii="Arial" w:hAnsi="Arial" w:cs="Arial"/>
          <w:color w:val="FF0000"/>
          <w:sz w:val="24"/>
          <w:szCs w:val="24"/>
        </w:rPr>
      </w:pPr>
    </w:p>
    <w:p w14:paraId="170C916F" w14:textId="77777777" w:rsidR="00E93E44" w:rsidRDefault="00E93E44" w:rsidP="00E93E44">
      <w:pPr>
        <w:jc w:val="center"/>
        <w:rPr>
          <w:rFonts w:ascii="Arial" w:hAnsi="Arial" w:cs="Arial"/>
          <w:color w:val="FF0000"/>
          <w:sz w:val="24"/>
          <w:szCs w:val="24"/>
        </w:rPr>
      </w:pPr>
    </w:p>
    <w:p w14:paraId="58341BD3" w14:textId="77777777" w:rsidR="00E93E44" w:rsidRDefault="00E93E44" w:rsidP="00E93E44">
      <w:pPr>
        <w:jc w:val="center"/>
        <w:rPr>
          <w:rFonts w:ascii="Arial" w:hAnsi="Arial" w:cs="Arial"/>
          <w:b/>
          <w:bCs/>
          <w:sz w:val="24"/>
          <w:szCs w:val="24"/>
        </w:rPr>
      </w:pPr>
      <w:r w:rsidRPr="002E29BD">
        <w:rPr>
          <w:rFonts w:ascii="Arial" w:hAnsi="Arial" w:cs="Arial"/>
          <w:b/>
          <w:bCs/>
          <w:sz w:val="24"/>
          <w:szCs w:val="24"/>
        </w:rPr>
        <w:lastRenderedPageBreak/>
        <w:t xml:space="preserve">Dining Plan Components </w:t>
      </w:r>
    </w:p>
    <w:p w14:paraId="621C58F3" w14:textId="77777777" w:rsidR="00E93E44" w:rsidRPr="002E29BD" w:rsidRDefault="00E93E44" w:rsidP="00E93E44">
      <w:pPr>
        <w:jc w:val="center"/>
        <w:rPr>
          <w:rFonts w:ascii="Arial" w:hAnsi="Arial" w:cs="Arial"/>
          <w:b/>
          <w:bCs/>
          <w:sz w:val="24"/>
          <w:szCs w:val="24"/>
        </w:rPr>
      </w:pPr>
      <w:r>
        <w:rPr>
          <w:rFonts w:ascii="Arial" w:hAnsi="Arial" w:cs="Arial"/>
          <w:b/>
          <w:bCs/>
          <w:sz w:val="24"/>
          <w:szCs w:val="24"/>
        </w:rPr>
        <w:t>Proposed Dining Plan Rates for 2026-2027</w:t>
      </w:r>
    </w:p>
    <w:p w14:paraId="748D404F" w14:textId="77777777" w:rsidR="00E93E44" w:rsidRDefault="00E93E44" w:rsidP="00E93E44">
      <w:pPr>
        <w:rPr>
          <w:rFonts w:ascii="Arial" w:hAnsi="Arial" w:cs="Arial"/>
          <w:sz w:val="24"/>
          <w:szCs w:val="24"/>
        </w:rPr>
      </w:pPr>
    </w:p>
    <w:p w14:paraId="69E91553" w14:textId="77777777" w:rsidR="00E93E44" w:rsidRDefault="00E93E44" w:rsidP="00E93E44">
      <w:pPr>
        <w:rPr>
          <w:rFonts w:ascii="Arial" w:hAnsi="Arial" w:cs="Arial"/>
          <w:noProof/>
          <w:sz w:val="24"/>
          <w:szCs w:val="24"/>
          <w:lang w:val="en-US"/>
        </w:rPr>
      </w:pPr>
      <w:r>
        <w:rPr>
          <w:rFonts w:ascii="Arial" w:hAnsi="Arial" w:cs="Arial"/>
          <w:noProof/>
          <w:sz w:val="24"/>
          <w:szCs w:val="24"/>
          <w:lang w:val="en-US"/>
        </w:rPr>
        <w:t>The total Dining Plan Fee is made up of two components, the overhead and the declining balance portion.</w:t>
      </w:r>
    </w:p>
    <w:p w14:paraId="2DE41075" w14:textId="77777777" w:rsidR="00E93E44" w:rsidRDefault="00E93E44" w:rsidP="00E93E44">
      <w:pPr>
        <w:pStyle w:val="ListParagraph"/>
        <w:numPr>
          <w:ilvl w:val="0"/>
          <w:numId w:val="59"/>
        </w:numPr>
        <w:rPr>
          <w:rFonts w:ascii="Arial" w:hAnsi="Arial" w:cs="Arial"/>
          <w:sz w:val="24"/>
          <w:szCs w:val="24"/>
        </w:rPr>
      </w:pPr>
      <w:r>
        <w:rPr>
          <w:rFonts w:ascii="Arial" w:hAnsi="Arial" w:cs="Arial"/>
          <w:sz w:val="24"/>
          <w:szCs w:val="24"/>
        </w:rPr>
        <w:t xml:space="preserve">The cost for O-week “free” meals will not increase for 2026-2027.  </w:t>
      </w:r>
    </w:p>
    <w:p w14:paraId="21582349" w14:textId="77777777" w:rsidR="00E93E44" w:rsidRDefault="00E93E44" w:rsidP="00E93E44">
      <w:pPr>
        <w:jc w:val="center"/>
        <w:rPr>
          <w:rFonts w:ascii="Arial" w:hAnsi="Arial" w:cs="Arial"/>
          <w:sz w:val="24"/>
          <w:szCs w:val="24"/>
        </w:rPr>
      </w:pPr>
      <w:r w:rsidRPr="002C74CE">
        <w:rPr>
          <w:noProof/>
        </w:rPr>
        <w:drawing>
          <wp:inline distT="0" distB="0" distL="0" distR="0" wp14:anchorId="4E20C846" wp14:editId="5AB00C4F">
            <wp:extent cx="3676650" cy="2495550"/>
            <wp:effectExtent l="0" t="0" r="0" b="0"/>
            <wp:docPr id="1767088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6650" cy="2495550"/>
                    </a:xfrm>
                    <a:prstGeom prst="rect">
                      <a:avLst/>
                    </a:prstGeom>
                    <a:noFill/>
                    <a:ln>
                      <a:noFill/>
                    </a:ln>
                  </pic:spPr>
                </pic:pic>
              </a:graphicData>
            </a:graphic>
          </wp:inline>
        </w:drawing>
      </w:r>
    </w:p>
    <w:p w14:paraId="4D4E65A2" w14:textId="77777777" w:rsidR="00E93E44" w:rsidRPr="007B084A" w:rsidRDefault="00E93E44" w:rsidP="00E93E44">
      <w:pPr>
        <w:rPr>
          <w:rFonts w:ascii="Arial" w:hAnsi="Arial" w:cs="Arial"/>
          <w:sz w:val="24"/>
          <w:szCs w:val="24"/>
        </w:rPr>
      </w:pPr>
    </w:p>
    <w:p w14:paraId="539DE7F2" w14:textId="77777777" w:rsidR="00E93E44" w:rsidRPr="00913F3C" w:rsidRDefault="00E93E44" w:rsidP="00E93E44">
      <w:pPr>
        <w:pStyle w:val="ListParagraph"/>
        <w:numPr>
          <w:ilvl w:val="0"/>
          <w:numId w:val="59"/>
        </w:numPr>
        <w:rPr>
          <w:rFonts w:ascii="Arial" w:hAnsi="Arial" w:cs="Arial"/>
          <w:noProof/>
          <w:sz w:val="24"/>
          <w:szCs w:val="24"/>
          <w:lang w:val="en-US"/>
        </w:rPr>
      </w:pPr>
      <w:r w:rsidRPr="00913F3C">
        <w:rPr>
          <w:rFonts w:ascii="Arial" w:hAnsi="Arial" w:cs="Arial"/>
          <w:noProof/>
          <w:sz w:val="24"/>
          <w:szCs w:val="24"/>
          <w:lang w:val="en-US"/>
        </w:rPr>
        <w:t xml:space="preserve">Overhead for a Traditional Dining Plan: </w:t>
      </w:r>
    </w:p>
    <w:p w14:paraId="6BD7FE8F" w14:textId="77777777" w:rsidR="00E93E44" w:rsidRPr="00913F3C" w:rsidRDefault="00E93E44" w:rsidP="00E93E44">
      <w:pPr>
        <w:jc w:val="center"/>
        <w:rPr>
          <w:rFonts w:ascii="Arial" w:hAnsi="Arial" w:cs="Arial"/>
          <w:noProof/>
          <w:sz w:val="24"/>
          <w:szCs w:val="24"/>
          <w:lang w:val="en-US"/>
        </w:rPr>
      </w:pPr>
      <w:r w:rsidRPr="005B7ECF">
        <w:rPr>
          <w:noProof/>
        </w:rPr>
        <w:drawing>
          <wp:inline distT="0" distB="0" distL="0" distR="0" wp14:anchorId="2ED50C3D" wp14:editId="3E435C53">
            <wp:extent cx="5133975" cy="2495550"/>
            <wp:effectExtent l="0" t="0" r="9525" b="0"/>
            <wp:docPr id="491699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975" cy="2495550"/>
                    </a:xfrm>
                    <a:prstGeom prst="rect">
                      <a:avLst/>
                    </a:prstGeom>
                    <a:noFill/>
                    <a:ln>
                      <a:noFill/>
                    </a:ln>
                  </pic:spPr>
                </pic:pic>
              </a:graphicData>
            </a:graphic>
          </wp:inline>
        </w:drawing>
      </w:r>
    </w:p>
    <w:p w14:paraId="584DB75F" w14:textId="77777777" w:rsidR="00E93E44" w:rsidRDefault="00E93E44" w:rsidP="00E93E44">
      <w:pPr>
        <w:jc w:val="center"/>
        <w:rPr>
          <w:rFonts w:ascii="Arial" w:hAnsi="Arial" w:cs="Arial"/>
          <w:noProof/>
          <w:sz w:val="24"/>
          <w:szCs w:val="24"/>
          <w:lang w:val="en-US"/>
        </w:rPr>
      </w:pPr>
    </w:p>
    <w:p w14:paraId="3880A86E" w14:textId="77777777" w:rsidR="00E93E44" w:rsidRPr="007B084A" w:rsidRDefault="00E93E44" w:rsidP="00E93E44">
      <w:pPr>
        <w:ind w:left="720"/>
        <w:rPr>
          <w:rFonts w:ascii="Arial" w:hAnsi="Arial" w:cs="Arial"/>
          <w:noProof/>
          <w:sz w:val="24"/>
          <w:szCs w:val="24"/>
          <w:lang w:val="en-US"/>
        </w:rPr>
      </w:pPr>
      <w:r>
        <w:rPr>
          <w:rFonts w:ascii="Arial" w:hAnsi="Arial" w:cs="Arial"/>
          <w:noProof/>
          <w:sz w:val="24"/>
          <w:szCs w:val="24"/>
          <w:lang w:val="en-US"/>
        </w:rPr>
        <w:t>Should we use the rate for each campus or a blended rate across all rooms?  Adjust the difference over three years?</w:t>
      </w:r>
    </w:p>
    <w:p w14:paraId="3ACA5389" w14:textId="77777777" w:rsidR="00E93E44" w:rsidRDefault="00E93E44" w:rsidP="00E93E44">
      <w:pPr>
        <w:ind w:left="720"/>
        <w:rPr>
          <w:rFonts w:ascii="Arial" w:hAnsi="Arial" w:cs="Arial"/>
          <w:sz w:val="24"/>
          <w:szCs w:val="24"/>
        </w:rPr>
      </w:pPr>
      <w:r>
        <w:rPr>
          <w:rFonts w:ascii="Arial" w:hAnsi="Arial" w:cs="Arial"/>
          <w:sz w:val="24"/>
          <w:szCs w:val="24"/>
        </w:rPr>
        <w:lastRenderedPageBreak/>
        <w:t>There will be a considerable increase in the total Food Service overhead, on a per resident basis, as the number of beds declines and costs continue to increase.</w:t>
      </w:r>
    </w:p>
    <w:p w14:paraId="7EF384DC" w14:textId="77777777" w:rsidR="00E93E44" w:rsidRDefault="00E93E44" w:rsidP="00E93E44">
      <w:pPr>
        <w:pStyle w:val="ListParagraph"/>
        <w:numPr>
          <w:ilvl w:val="0"/>
          <w:numId w:val="59"/>
        </w:numPr>
        <w:rPr>
          <w:rFonts w:ascii="Arial" w:hAnsi="Arial" w:cs="Arial"/>
          <w:sz w:val="24"/>
          <w:szCs w:val="24"/>
        </w:rPr>
      </w:pPr>
      <w:r w:rsidRPr="004C4EE4">
        <w:rPr>
          <w:rFonts w:ascii="Arial" w:hAnsi="Arial" w:cs="Arial"/>
          <w:sz w:val="24"/>
          <w:szCs w:val="24"/>
        </w:rPr>
        <w:t>The declining</w:t>
      </w:r>
      <w:r>
        <w:rPr>
          <w:rFonts w:ascii="Arial" w:hAnsi="Arial" w:cs="Arial"/>
          <w:sz w:val="24"/>
          <w:szCs w:val="24"/>
        </w:rPr>
        <w:t xml:space="preserve"> balance portion of the dining plan needs to increase by an amount sufficient to cover inflation in the three broad categories of expenses:</w:t>
      </w:r>
    </w:p>
    <w:tbl>
      <w:tblPr>
        <w:tblStyle w:val="TableGrid"/>
        <w:tblW w:w="0" w:type="auto"/>
        <w:tblInd w:w="1440" w:type="dxa"/>
        <w:tblLook w:val="04A0" w:firstRow="1" w:lastRow="0" w:firstColumn="1" w:lastColumn="0" w:noHBand="0" w:noVBand="1"/>
      </w:tblPr>
      <w:tblGrid>
        <w:gridCol w:w="2017"/>
        <w:gridCol w:w="1300"/>
        <w:gridCol w:w="1191"/>
        <w:gridCol w:w="2417"/>
      </w:tblGrid>
      <w:tr w:rsidR="00E93E44" w14:paraId="0F32EC1C" w14:textId="77777777" w:rsidTr="00F303C9">
        <w:tc>
          <w:tcPr>
            <w:tcW w:w="2017" w:type="dxa"/>
          </w:tcPr>
          <w:p w14:paraId="5F3CE0CF" w14:textId="77777777" w:rsidR="00E93E44" w:rsidRPr="004C4EE4" w:rsidRDefault="00E93E44" w:rsidP="00F303C9">
            <w:pPr>
              <w:rPr>
                <w:rFonts w:ascii="Arial" w:hAnsi="Arial" w:cs="Arial"/>
                <w:b/>
                <w:bCs/>
                <w:sz w:val="24"/>
                <w:szCs w:val="24"/>
              </w:rPr>
            </w:pPr>
            <w:r w:rsidRPr="004C4EE4">
              <w:rPr>
                <w:rFonts w:ascii="Arial" w:hAnsi="Arial" w:cs="Arial"/>
                <w:b/>
                <w:bCs/>
                <w:sz w:val="24"/>
                <w:szCs w:val="24"/>
              </w:rPr>
              <w:t>Item:</w:t>
            </w:r>
          </w:p>
        </w:tc>
        <w:tc>
          <w:tcPr>
            <w:tcW w:w="1300" w:type="dxa"/>
          </w:tcPr>
          <w:p w14:paraId="3D894CD3" w14:textId="77777777" w:rsidR="00E93E44" w:rsidRPr="004C4EE4" w:rsidRDefault="00E93E44" w:rsidP="00F303C9">
            <w:pPr>
              <w:rPr>
                <w:rFonts w:ascii="Arial" w:hAnsi="Arial" w:cs="Arial"/>
                <w:b/>
                <w:bCs/>
                <w:sz w:val="24"/>
                <w:szCs w:val="24"/>
              </w:rPr>
            </w:pPr>
            <w:r w:rsidRPr="004C4EE4">
              <w:rPr>
                <w:rFonts w:ascii="Arial" w:hAnsi="Arial" w:cs="Arial"/>
                <w:b/>
                <w:bCs/>
                <w:sz w:val="24"/>
                <w:szCs w:val="24"/>
              </w:rPr>
              <w:t>% of total</w:t>
            </w:r>
          </w:p>
        </w:tc>
        <w:tc>
          <w:tcPr>
            <w:tcW w:w="1191" w:type="dxa"/>
          </w:tcPr>
          <w:p w14:paraId="57551C82" w14:textId="77777777" w:rsidR="00E93E44" w:rsidRPr="004C4EE4" w:rsidRDefault="00E93E44" w:rsidP="00F303C9">
            <w:pPr>
              <w:rPr>
                <w:rFonts w:ascii="Arial" w:hAnsi="Arial" w:cs="Arial"/>
                <w:b/>
                <w:bCs/>
                <w:sz w:val="24"/>
                <w:szCs w:val="24"/>
              </w:rPr>
            </w:pPr>
            <w:r w:rsidRPr="004C4EE4">
              <w:rPr>
                <w:rFonts w:ascii="Arial" w:hAnsi="Arial" w:cs="Arial"/>
                <w:b/>
                <w:bCs/>
                <w:sz w:val="24"/>
                <w:szCs w:val="24"/>
              </w:rPr>
              <w:t>Increase</w:t>
            </w:r>
          </w:p>
        </w:tc>
        <w:tc>
          <w:tcPr>
            <w:tcW w:w="2417" w:type="dxa"/>
          </w:tcPr>
          <w:p w14:paraId="7733899B" w14:textId="77777777" w:rsidR="00E93E44" w:rsidRPr="004C4EE4" w:rsidRDefault="00E93E44" w:rsidP="00F303C9">
            <w:pPr>
              <w:rPr>
                <w:rFonts w:ascii="Arial" w:hAnsi="Arial" w:cs="Arial"/>
                <w:b/>
                <w:bCs/>
                <w:sz w:val="24"/>
                <w:szCs w:val="24"/>
              </w:rPr>
            </w:pPr>
            <w:r w:rsidRPr="004C4EE4">
              <w:rPr>
                <w:rFonts w:ascii="Arial" w:hAnsi="Arial" w:cs="Arial"/>
                <w:b/>
                <w:bCs/>
                <w:sz w:val="24"/>
                <w:szCs w:val="24"/>
              </w:rPr>
              <w:t>Weighted Increase</w:t>
            </w:r>
          </w:p>
        </w:tc>
      </w:tr>
      <w:tr w:rsidR="00E93E44" w14:paraId="11CB0484" w14:textId="77777777" w:rsidTr="00F303C9">
        <w:tc>
          <w:tcPr>
            <w:tcW w:w="2017" w:type="dxa"/>
          </w:tcPr>
          <w:p w14:paraId="2F9897C2" w14:textId="77777777" w:rsidR="00E93E44" w:rsidRDefault="00E93E44" w:rsidP="00F303C9">
            <w:pPr>
              <w:rPr>
                <w:rFonts w:ascii="Arial" w:hAnsi="Arial" w:cs="Arial"/>
                <w:sz w:val="24"/>
                <w:szCs w:val="24"/>
              </w:rPr>
            </w:pPr>
            <w:r>
              <w:rPr>
                <w:rFonts w:ascii="Arial" w:hAnsi="Arial" w:cs="Arial"/>
                <w:sz w:val="24"/>
                <w:szCs w:val="24"/>
              </w:rPr>
              <w:t>Food Cost</w:t>
            </w:r>
          </w:p>
        </w:tc>
        <w:tc>
          <w:tcPr>
            <w:tcW w:w="1300" w:type="dxa"/>
          </w:tcPr>
          <w:p w14:paraId="0C02C00D" w14:textId="77777777" w:rsidR="00E93E44" w:rsidRDefault="00E93E44" w:rsidP="00F303C9">
            <w:pPr>
              <w:jc w:val="right"/>
              <w:rPr>
                <w:rFonts w:ascii="Arial" w:hAnsi="Arial" w:cs="Arial"/>
                <w:sz w:val="24"/>
                <w:szCs w:val="24"/>
              </w:rPr>
            </w:pPr>
            <w:r>
              <w:rPr>
                <w:rFonts w:ascii="Arial" w:hAnsi="Arial" w:cs="Arial"/>
                <w:sz w:val="24"/>
                <w:szCs w:val="24"/>
              </w:rPr>
              <w:t>40%</w:t>
            </w:r>
          </w:p>
        </w:tc>
        <w:tc>
          <w:tcPr>
            <w:tcW w:w="1191" w:type="dxa"/>
          </w:tcPr>
          <w:p w14:paraId="608E6CA4" w14:textId="77777777" w:rsidR="00E93E44" w:rsidRDefault="00E93E44" w:rsidP="00F303C9">
            <w:pPr>
              <w:jc w:val="right"/>
              <w:rPr>
                <w:rFonts w:ascii="Arial" w:hAnsi="Arial" w:cs="Arial"/>
                <w:sz w:val="24"/>
                <w:szCs w:val="24"/>
              </w:rPr>
            </w:pPr>
            <w:r>
              <w:rPr>
                <w:rFonts w:ascii="Arial" w:hAnsi="Arial" w:cs="Arial"/>
                <w:sz w:val="24"/>
                <w:szCs w:val="24"/>
              </w:rPr>
              <w:t>4%</w:t>
            </w:r>
          </w:p>
        </w:tc>
        <w:tc>
          <w:tcPr>
            <w:tcW w:w="2417" w:type="dxa"/>
          </w:tcPr>
          <w:p w14:paraId="52EAB914" w14:textId="77777777" w:rsidR="00E93E44" w:rsidRDefault="00E93E44" w:rsidP="00F303C9">
            <w:pPr>
              <w:jc w:val="right"/>
              <w:rPr>
                <w:rFonts w:ascii="Arial" w:hAnsi="Arial" w:cs="Arial"/>
                <w:sz w:val="24"/>
                <w:szCs w:val="24"/>
              </w:rPr>
            </w:pPr>
            <w:r>
              <w:rPr>
                <w:rFonts w:ascii="Arial" w:hAnsi="Arial" w:cs="Arial"/>
                <w:sz w:val="24"/>
                <w:szCs w:val="24"/>
              </w:rPr>
              <w:t>1.6%</w:t>
            </w:r>
          </w:p>
        </w:tc>
      </w:tr>
      <w:tr w:rsidR="00E93E44" w14:paraId="32EC63FA" w14:textId="77777777" w:rsidTr="00F303C9">
        <w:tc>
          <w:tcPr>
            <w:tcW w:w="2017" w:type="dxa"/>
          </w:tcPr>
          <w:p w14:paraId="34790409" w14:textId="77777777" w:rsidR="00E93E44" w:rsidRDefault="00E93E44" w:rsidP="00F303C9">
            <w:pPr>
              <w:rPr>
                <w:rFonts w:ascii="Arial" w:hAnsi="Arial" w:cs="Arial"/>
                <w:sz w:val="24"/>
                <w:szCs w:val="24"/>
              </w:rPr>
            </w:pPr>
            <w:r>
              <w:rPr>
                <w:rFonts w:ascii="Arial" w:hAnsi="Arial" w:cs="Arial"/>
                <w:sz w:val="24"/>
                <w:szCs w:val="24"/>
              </w:rPr>
              <w:t>Labour Cost</w:t>
            </w:r>
          </w:p>
        </w:tc>
        <w:tc>
          <w:tcPr>
            <w:tcW w:w="1300" w:type="dxa"/>
          </w:tcPr>
          <w:p w14:paraId="219C9D12" w14:textId="77777777" w:rsidR="00E93E44" w:rsidRDefault="00E93E44" w:rsidP="00F303C9">
            <w:pPr>
              <w:jc w:val="right"/>
              <w:rPr>
                <w:rFonts w:ascii="Arial" w:hAnsi="Arial" w:cs="Arial"/>
                <w:sz w:val="24"/>
                <w:szCs w:val="24"/>
              </w:rPr>
            </w:pPr>
            <w:r>
              <w:rPr>
                <w:rFonts w:ascii="Arial" w:hAnsi="Arial" w:cs="Arial"/>
                <w:sz w:val="24"/>
                <w:szCs w:val="24"/>
              </w:rPr>
              <w:t>40%</w:t>
            </w:r>
          </w:p>
        </w:tc>
        <w:tc>
          <w:tcPr>
            <w:tcW w:w="1191" w:type="dxa"/>
          </w:tcPr>
          <w:p w14:paraId="1042802D" w14:textId="77777777" w:rsidR="00E93E44" w:rsidRDefault="00E93E44" w:rsidP="00F303C9">
            <w:pPr>
              <w:jc w:val="right"/>
              <w:rPr>
                <w:rFonts w:ascii="Arial" w:hAnsi="Arial" w:cs="Arial"/>
                <w:sz w:val="24"/>
                <w:szCs w:val="24"/>
              </w:rPr>
            </w:pPr>
            <w:r>
              <w:rPr>
                <w:rFonts w:ascii="Arial" w:hAnsi="Arial" w:cs="Arial"/>
                <w:sz w:val="24"/>
                <w:szCs w:val="24"/>
              </w:rPr>
              <w:t>6%</w:t>
            </w:r>
          </w:p>
        </w:tc>
        <w:tc>
          <w:tcPr>
            <w:tcW w:w="2417" w:type="dxa"/>
          </w:tcPr>
          <w:p w14:paraId="623C0082" w14:textId="77777777" w:rsidR="00E93E44" w:rsidRDefault="00E93E44" w:rsidP="00F303C9">
            <w:pPr>
              <w:jc w:val="right"/>
              <w:rPr>
                <w:rFonts w:ascii="Arial" w:hAnsi="Arial" w:cs="Arial"/>
                <w:sz w:val="24"/>
                <w:szCs w:val="24"/>
              </w:rPr>
            </w:pPr>
            <w:r>
              <w:rPr>
                <w:rFonts w:ascii="Arial" w:hAnsi="Arial" w:cs="Arial"/>
                <w:sz w:val="24"/>
                <w:szCs w:val="24"/>
              </w:rPr>
              <w:t>2.4%</w:t>
            </w:r>
          </w:p>
        </w:tc>
      </w:tr>
      <w:tr w:rsidR="00E93E44" w14:paraId="7AAB3445" w14:textId="77777777" w:rsidTr="00F303C9">
        <w:tc>
          <w:tcPr>
            <w:tcW w:w="2017" w:type="dxa"/>
          </w:tcPr>
          <w:p w14:paraId="31C4451D" w14:textId="77777777" w:rsidR="00E93E44" w:rsidRDefault="00E93E44" w:rsidP="00F303C9">
            <w:pPr>
              <w:rPr>
                <w:rFonts w:ascii="Arial" w:hAnsi="Arial" w:cs="Arial"/>
                <w:sz w:val="24"/>
                <w:szCs w:val="24"/>
              </w:rPr>
            </w:pPr>
            <w:r>
              <w:rPr>
                <w:rFonts w:ascii="Arial" w:hAnsi="Arial" w:cs="Arial"/>
                <w:sz w:val="24"/>
                <w:szCs w:val="24"/>
              </w:rPr>
              <w:t>Other Expenses</w:t>
            </w:r>
          </w:p>
        </w:tc>
        <w:tc>
          <w:tcPr>
            <w:tcW w:w="1300" w:type="dxa"/>
          </w:tcPr>
          <w:p w14:paraId="519C3476" w14:textId="77777777" w:rsidR="00E93E44" w:rsidRDefault="00E93E44" w:rsidP="00F303C9">
            <w:pPr>
              <w:jc w:val="right"/>
              <w:rPr>
                <w:rFonts w:ascii="Arial" w:hAnsi="Arial" w:cs="Arial"/>
                <w:sz w:val="24"/>
                <w:szCs w:val="24"/>
              </w:rPr>
            </w:pPr>
            <w:r>
              <w:rPr>
                <w:rFonts w:ascii="Arial" w:hAnsi="Arial" w:cs="Arial"/>
                <w:sz w:val="24"/>
                <w:szCs w:val="24"/>
              </w:rPr>
              <w:t>20%</w:t>
            </w:r>
          </w:p>
        </w:tc>
        <w:tc>
          <w:tcPr>
            <w:tcW w:w="1191" w:type="dxa"/>
          </w:tcPr>
          <w:p w14:paraId="70958548" w14:textId="77777777" w:rsidR="00E93E44" w:rsidRDefault="00E93E44" w:rsidP="00F303C9">
            <w:pPr>
              <w:jc w:val="right"/>
              <w:rPr>
                <w:rFonts w:ascii="Arial" w:hAnsi="Arial" w:cs="Arial"/>
                <w:sz w:val="24"/>
                <w:szCs w:val="24"/>
              </w:rPr>
            </w:pPr>
            <w:r>
              <w:rPr>
                <w:rFonts w:ascii="Arial" w:hAnsi="Arial" w:cs="Arial"/>
                <w:sz w:val="24"/>
                <w:szCs w:val="24"/>
              </w:rPr>
              <w:t>3%</w:t>
            </w:r>
          </w:p>
        </w:tc>
        <w:tc>
          <w:tcPr>
            <w:tcW w:w="2417" w:type="dxa"/>
          </w:tcPr>
          <w:p w14:paraId="33270302" w14:textId="77777777" w:rsidR="00E93E44" w:rsidRDefault="00E93E44" w:rsidP="00F303C9">
            <w:pPr>
              <w:jc w:val="right"/>
              <w:rPr>
                <w:rFonts w:ascii="Arial" w:hAnsi="Arial" w:cs="Arial"/>
                <w:sz w:val="24"/>
                <w:szCs w:val="24"/>
              </w:rPr>
            </w:pPr>
            <w:r>
              <w:rPr>
                <w:rFonts w:ascii="Arial" w:hAnsi="Arial" w:cs="Arial"/>
                <w:sz w:val="24"/>
                <w:szCs w:val="24"/>
              </w:rPr>
              <w:t>0.6%</w:t>
            </w:r>
          </w:p>
        </w:tc>
      </w:tr>
      <w:tr w:rsidR="00E93E44" w14:paraId="4DBE6811" w14:textId="77777777" w:rsidTr="00F303C9">
        <w:tc>
          <w:tcPr>
            <w:tcW w:w="2017" w:type="dxa"/>
          </w:tcPr>
          <w:p w14:paraId="15014563" w14:textId="77777777" w:rsidR="00E93E44" w:rsidRPr="004C4EE4" w:rsidRDefault="00E93E44" w:rsidP="00F303C9">
            <w:pPr>
              <w:rPr>
                <w:rFonts w:ascii="Arial" w:hAnsi="Arial" w:cs="Arial"/>
                <w:b/>
                <w:bCs/>
                <w:sz w:val="24"/>
                <w:szCs w:val="24"/>
              </w:rPr>
            </w:pPr>
            <w:r w:rsidRPr="004C4EE4">
              <w:rPr>
                <w:rFonts w:ascii="Arial" w:hAnsi="Arial" w:cs="Arial"/>
                <w:b/>
                <w:bCs/>
                <w:sz w:val="24"/>
                <w:szCs w:val="24"/>
              </w:rPr>
              <w:t>Total</w:t>
            </w:r>
          </w:p>
        </w:tc>
        <w:tc>
          <w:tcPr>
            <w:tcW w:w="1300" w:type="dxa"/>
          </w:tcPr>
          <w:p w14:paraId="6CCFA66D" w14:textId="77777777" w:rsidR="00E93E44" w:rsidRDefault="00E93E44" w:rsidP="00F303C9">
            <w:pPr>
              <w:rPr>
                <w:rFonts w:ascii="Arial" w:hAnsi="Arial" w:cs="Arial"/>
                <w:sz w:val="24"/>
                <w:szCs w:val="24"/>
              </w:rPr>
            </w:pPr>
          </w:p>
        </w:tc>
        <w:tc>
          <w:tcPr>
            <w:tcW w:w="1191" w:type="dxa"/>
          </w:tcPr>
          <w:p w14:paraId="75309E07" w14:textId="77777777" w:rsidR="00E93E44" w:rsidRDefault="00E93E44" w:rsidP="00F303C9">
            <w:pPr>
              <w:rPr>
                <w:rFonts w:ascii="Arial" w:hAnsi="Arial" w:cs="Arial"/>
                <w:sz w:val="24"/>
                <w:szCs w:val="24"/>
              </w:rPr>
            </w:pPr>
          </w:p>
        </w:tc>
        <w:tc>
          <w:tcPr>
            <w:tcW w:w="2417" w:type="dxa"/>
          </w:tcPr>
          <w:p w14:paraId="652B6B40" w14:textId="77777777" w:rsidR="00E93E44" w:rsidRPr="004C4EE4" w:rsidRDefault="00E93E44" w:rsidP="00F303C9">
            <w:pPr>
              <w:jc w:val="right"/>
              <w:rPr>
                <w:rFonts w:ascii="Arial" w:hAnsi="Arial" w:cs="Arial"/>
                <w:b/>
                <w:bCs/>
                <w:sz w:val="24"/>
                <w:szCs w:val="24"/>
              </w:rPr>
            </w:pPr>
            <w:r>
              <w:rPr>
                <w:rFonts w:ascii="Arial" w:hAnsi="Arial" w:cs="Arial"/>
                <w:b/>
                <w:bCs/>
                <w:sz w:val="24"/>
                <w:szCs w:val="24"/>
              </w:rPr>
              <w:t>4.6</w:t>
            </w:r>
            <w:r w:rsidRPr="004C4EE4">
              <w:rPr>
                <w:rFonts w:ascii="Arial" w:hAnsi="Arial" w:cs="Arial"/>
                <w:b/>
                <w:bCs/>
                <w:sz w:val="24"/>
                <w:szCs w:val="24"/>
              </w:rPr>
              <w:t>%</w:t>
            </w:r>
          </w:p>
        </w:tc>
      </w:tr>
    </w:tbl>
    <w:p w14:paraId="1CAB2AA5" w14:textId="77777777" w:rsidR="00E93E44" w:rsidRDefault="00E93E44" w:rsidP="00E93E44">
      <w:pPr>
        <w:ind w:left="720"/>
        <w:rPr>
          <w:rFonts w:ascii="Arial" w:hAnsi="Arial" w:cs="Arial"/>
          <w:sz w:val="24"/>
          <w:szCs w:val="24"/>
        </w:rPr>
      </w:pPr>
    </w:p>
    <w:p w14:paraId="6D8FC6F1" w14:textId="77777777" w:rsidR="00E93E44" w:rsidRDefault="00E93E44" w:rsidP="00E93E44">
      <w:pPr>
        <w:ind w:left="720"/>
        <w:rPr>
          <w:rFonts w:ascii="Arial" w:hAnsi="Arial" w:cs="Arial"/>
          <w:sz w:val="24"/>
          <w:szCs w:val="24"/>
        </w:rPr>
      </w:pPr>
      <w:r>
        <w:rPr>
          <w:rFonts w:ascii="Arial" w:hAnsi="Arial" w:cs="Arial"/>
          <w:sz w:val="24"/>
          <w:szCs w:val="24"/>
        </w:rPr>
        <w:t>The value of the Declining Balance portion of a dining plan will need to increase by 4.6% to maintain the same purchasing power.  The minimum amount for traditional rooms will be $5,020 and suite style rooms $3,350.</w:t>
      </w:r>
      <w:r>
        <w:rPr>
          <w:rFonts w:ascii="Arial" w:hAnsi="Arial" w:cs="Arial"/>
          <w:sz w:val="24"/>
          <w:szCs w:val="24"/>
        </w:rPr>
        <w:tab/>
      </w:r>
    </w:p>
    <w:p w14:paraId="3FD004EF" w14:textId="77777777" w:rsidR="00E93E44" w:rsidRDefault="00E93E44" w:rsidP="00E93E44">
      <w:pPr>
        <w:ind w:left="720"/>
        <w:rPr>
          <w:rFonts w:ascii="Arial" w:hAnsi="Arial" w:cs="Arial"/>
          <w:sz w:val="24"/>
          <w:szCs w:val="24"/>
        </w:rPr>
      </w:pPr>
      <w:r>
        <w:rPr>
          <w:rFonts w:ascii="Arial" w:hAnsi="Arial" w:cs="Arial"/>
          <w:sz w:val="24"/>
          <w:szCs w:val="24"/>
        </w:rPr>
        <w:t xml:space="preserve">We have a lot of work to do on the costs included in the Overhead fee (where will utilities land for example) and on the declining balance value, given inflation. </w:t>
      </w:r>
    </w:p>
    <w:p w14:paraId="2A5A288E" w14:textId="77777777" w:rsidR="00E93E44" w:rsidRDefault="00E93E44" w:rsidP="00E93E44">
      <w:pPr>
        <w:pStyle w:val="ListParagraph"/>
        <w:numPr>
          <w:ilvl w:val="0"/>
          <w:numId w:val="59"/>
        </w:numPr>
        <w:rPr>
          <w:rFonts w:ascii="Arial" w:hAnsi="Arial" w:cs="Arial"/>
          <w:sz w:val="24"/>
          <w:szCs w:val="24"/>
        </w:rPr>
      </w:pPr>
      <w:r>
        <w:rPr>
          <w:rFonts w:ascii="Arial" w:hAnsi="Arial" w:cs="Arial"/>
          <w:sz w:val="24"/>
          <w:szCs w:val="24"/>
        </w:rPr>
        <w:t>Proposed dining plan fees for 2026/2027.</w:t>
      </w:r>
    </w:p>
    <w:p w14:paraId="5FD2A05B" w14:textId="77777777" w:rsidR="00E93E44" w:rsidRDefault="00E93E44" w:rsidP="00E93E44">
      <w:pPr>
        <w:ind w:left="360"/>
        <w:rPr>
          <w:rFonts w:ascii="Arial" w:hAnsi="Arial" w:cs="Arial"/>
          <w:sz w:val="24"/>
          <w:szCs w:val="24"/>
        </w:rPr>
      </w:pPr>
      <w:r>
        <w:rPr>
          <w:rFonts w:ascii="Arial" w:hAnsi="Arial" w:cs="Arial"/>
          <w:sz w:val="24"/>
          <w:szCs w:val="24"/>
        </w:rPr>
        <w:t>Traditional Style Plans</w:t>
      </w:r>
    </w:p>
    <w:tbl>
      <w:tblPr>
        <w:tblStyle w:val="TableGrid"/>
        <w:tblW w:w="0" w:type="auto"/>
        <w:tblInd w:w="360" w:type="dxa"/>
        <w:tblLook w:val="04A0" w:firstRow="1" w:lastRow="0" w:firstColumn="1" w:lastColumn="0" w:noHBand="0" w:noVBand="1"/>
      </w:tblPr>
      <w:tblGrid>
        <w:gridCol w:w="2600"/>
        <w:gridCol w:w="1430"/>
        <w:gridCol w:w="1413"/>
        <w:gridCol w:w="1138"/>
      </w:tblGrid>
      <w:tr w:rsidR="00E93E44" w14:paraId="648F3B62" w14:textId="77777777" w:rsidTr="00F303C9">
        <w:tc>
          <w:tcPr>
            <w:tcW w:w="2600" w:type="dxa"/>
          </w:tcPr>
          <w:p w14:paraId="2E5EBBEB" w14:textId="77777777" w:rsidR="00E93E44" w:rsidRDefault="00E93E44" w:rsidP="00F303C9">
            <w:pPr>
              <w:rPr>
                <w:rFonts w:ascii="Arial" w:hAnsi="Arial" w:cs="Arial"/>
                <w:sz w:val="24"/>
                <w:szCs w:val="24"/>
              </w:rPr>
            </w:pPr>
          </w:p>
        </w:tc>
        <w:tc>
          <w:tcPr>
            <w:tcW w:w="1430" w:type="dxa"/>
          </w:tcPr>
          <w:p w14:paraId="035BFFB1" w14:textId="77777777" w:rsidR="00E93E44" w:rsidRDefault="00E93E44" w:rsidP="00F303C9">
            <w:pPr>
              <w:rPr>
                <w:rFonts w:ascii="Arial" w:hAnsi="Arial" w:cs="Arial"/>
                <w:sz w:val="24"/>
                <w:szCs w:val="24"/>
              </w:rPr>
            </w:pPr>
            <w:r>
              <w:rPr>
                <w:rFonts w:ascii="Arial" w:hAnsi="Arial" w:cs="Arial"/>
                <w:sz w:val="24"/>
                <w:szCs w:val="24"/>
              </w:rPr>
              <w:t>Current</w:t>
            </w:r>
          </w:p>
        </w:tc>
        <w:tc>
          <w:tcPr>
            <w:tcW w:w="1413" w:type="dxa"/>
          </w:tcPr>
          <w:p w14:paraId="7B6CCA31" w14:textId="77777777" w:rsidR="00E93E44" w:rsidRDefault="00E93E44" w:rsidP="00F303C9">
            <w:pPr>
              <w:rPr>
                <w:rFonts w:ascii="Arial" w:hAnsi="Arial" w:cs="Arial"/>
                <w:sz w:val="24"/>
                <w:szCs w:val="24"/>
              </w:rPr>
            </w:pPr>
            <w:r>
              <w:rPr>
                <w:rFonts w:ascii="Arial" w:hAnsi="Arial" w:cs="Arial"/>
                <w:sz w:val="24"/>
                <w:szCs w:val="24"/>
              </w:rPr>
              <w:t>Proposed</w:t>
            </w:r>
          </w:p>
        </w:tc>
        <w:tc>
          <w:tcPr>
            <w:tcW w:w="1138" w:type="dxa"/>
          </w:tcPr>
          <w:p w14:paraId="1795B00A" w14:textId="77777777" w:rsidR="00E93E44" w:rsidRDefault="00E93E44" w:rsidP="00F303C9">
            <w:pPr>
              <w:rPr>
                <w:rFonts w:ascii="Arial" w:hAnsi="Arial" w:cs="Arial"/>
                <w:sz w:val="24"/>
                <w:szCs w:val="24"/>
              </w:rPr>
            </w:pPr>
            <w:r>
              <w:rPr>
                <w:rFonts w:ascii="Arial" w:hAnsi="Arial" w:cs="Arial"/>
                <w:sz w:val="24"/>
                <w:szCs w:val="24"/>
              </w:rPr>
              <w:t>Change</w:t>
            </w:r>
          </w:p>
        </w:tc>
      </w:tr>
      <w:tr w:rsidR="00E93E44" w14:paraId="2E1CB39D" w14:textId="77777777" w:rsidTr="00F303C9">
        <w:tc>
          <w:tcPr>
            <w:tcW w:w="2600" w:type="dxa"/>
          </w:tcPr>
          <w:p w14:paraId="65E610F1" w14:textId="77777777" w:rsidR="00E93E44" w:rsidRDefault="00E93E44" w:rsidP="00F303C9">
            <w:pPr>
              <w:rPr>
                <w:rFonts w:ascii="Arial" w:hAnsi="Arial" w:cs="Arial"/>
                <w:sz w:val="24"/>
                <w:szCs w:val="24"/>
              </w:rPr>
            </w:pPr>
            <w:r>
              <w:rPr>
                <w:rFonts w:ascii="Arial" w:hAnsi="Arial" w:cs="Arial"/>
                <w:sz w:val="24"/>
                <w:szCs w:val="24"/>
              </w:rPr>
              <w:t>Declining Balance</w:t>
            </w:r>
          </w:p>
        </w:tc>
        <w:tc>
          <w:tcPr>
            <w:tcW w:w="1430" w:type="dxa"/>
          </w:tcPr>
          <w:p w14:paraId="4624CE6F" w14:textId="77777777" w:rsidR="00E93E44" w:rsidRDefault="00E93E44" w:rsidP="00F303C9">
            <w:pPr>
              <w:rPr>
                <w:rFonts w:ascii="Arial" w:hAnsi="Arial" w:cs="Arial"/>
                <w:sz w:val="24"/>
                <w:szCs w:val="24"/>
              </w:rPr>
            </w:pPr>
            <w:r>
              <w:rPr>
                <w:rFonts w:ascii="Arial" w:hAnsi="Arial" w:cs="Arial"/>
                <w:sz w:val="24"/>
                <w:szCs w:val="24"/>
              </w:rPr>
              <w:t>$4,800</w:t>
            </w:r>
          </w:p>
        </w:tc>
        <w:tc>
          <w:tcPr>
            <w:tcW w:w="1413" w:type="dxa"/>
          </w:tcPr>
          <w:p w14:paraId="0D104CD9" w14:textId="77777777" w:rsidR="00E93E44" w:rsidRDefault="00E93E44" w:rsidP="00F303C9">
            <w:pPr>
              <w:rPr>
                <w:rFonts w:ascii="Arial" w:hAnsi="Arial" w:cs="Arial"/>
                <w:sz w:val="24"/>
                <w:szCs w:val="24"/>
              </w:rPr>
            </w:pPr>
            <w:r>
              <w:rPr>
                <w:rFonts w:ascii="Arial" w:hAnsi="Arial" w:cs="Arial"/>
                <w:sz w:val="24"/>
                <w:szCs w:val="24"/>
              </w:rPr>
              <w:t>$5,020</w:t>
            </w:r>
          </w:p>
        </w:tc>
        <w:tc>
          <w:tcPr>
            <w:tcW w:w="1138" w:type="dxa"/>
          </w:tcPr>
          <w:p w14:paraId="4560D01D" w14:textId="77777777" w:rsidR="00E93E44" w:rsidRDefault="00E93E44" w:rsidP="00F303C9">
            <w:pPr>
              <w:rPr>
                <w:rFonts w:ascii="Arial" w:hAnsi="Arial" w:cs="Arial"/>
                <w:sz w:val="24"/>
                <w:szCs w:val="24"/>
              </w:rPr>
            </w:pPr>
            <w:r>
              <w:rPr>
                <w:rFonts w:ascii="Arial" w:hAnsi="Arial" w:cs="Arial"/>
                <w:sz w:val="24"/>
                <w:szCs w:val="24"/>
              </w:rPr>
              <w:t>4.6%</w:t>
            </w:r>
          </w:p>
        </w:tc>
      </w:tr>
      <w:tr w:rsidR="00E93E44" w14:paraId="7348EB4F" w14:textId="77777777" w:rsidTr="00F303C9">
        <w:tc>
          <w:tcPr>
            <w:tcW w:w="2600" w:type="dxa"/>
          </w:tcPr>
          <w:p w14:paraId="1E236807" w14:textId="77777777" w:rsidR="00E93E44" w:rsidRDefault="00E93E44" w:rsidP="00F303C9">
            <w:pPr>
              <w:rPr>
                <w:rFonts w:ascii="Arial" w:hAnsi="Arial" w:cs="Arial"/>
                <w:sz w:val="24"/>
                <w:szCs w:val="24"/>
              </w:rPr>
            </w:pPr>
            <w:r>
              <w:rPr>
                <w:rFonts w:ascii="Arial" w:hAnsi="Arial" w:cs="Arial"/>
                <w:sz w:val="24"/>
                <w:szCs w:val="24"/>
              </w:rPr>
              <w:t>Overhead</w:t>
            </w:r>
          </w:p>
        </w:tc>
        <w:tc>
          <w:tcPr>
            <w:tcW w:w="1430" w:type="dxa"/>
          </w:tcPr>
          <w:p w14:paraId="4F5A8DCA" w14:textId="77777777" w:rsidR="00E93E44" w:rsidRDefault="00E93E44" w:rsidP="00F303C9">
            <w:pPr>
              <w:rPr>
                <w:rFonts w:ascii="Arial" w:hAnsi="Arial" w:cs="Arial"/>
                <w:sz w:val="24"/>
                <w:szCs w:val="24"/>
              </w:rPr>
            </w:pPr>
            <w:r>
              <w:rPr>
                <w:rFonts w:ascii="Arial" w:hAnsi="Arial" w:cs="Arial"/>
                <w:sz w:val="24"/>
                <w:szCs w:val="24"/>
              </w:rPr>
              <w:t>$1,250</w:t>
            </w:r>
          </w:p>
        </w:tc>
        <w:tc>
          <w:tcPr>
            <w:tcW w:w="1413" w:type="dxa"/>
          </w:tcPr>
          <w:p w14:paraId="5FFE4F87" w14:textId="77777777" w:rsidR="00E93E44" w:rsidRDefault="00E93E44" w:rsidP="00F303C9">
            <w:pPr>
              <w:rPr>
                <w:rFonts w:ascii="Arial" w:hAnsi="Arial" w:cs="Arial"/>
                <w:sz w:val="24"/>
                <w:szCs w:val="24"/>
              </w:rPr>
            </w:pPr>
            <w:r>
              <w:rPr>
                <w:rFonts w:ascii="Arial" w:hAnsi="Arial" w:cs="Arial"/>
                <w:sz w:val="24"/>
                <w:szCs w:val="24"/>
              </w:rPr>
              <w:t>$1,550</w:t>
            </w:r>
          </w:p>
        </w:tc>
        <w:tc>
          <w:tcPr>
            <w:tcW w:w="1138" w:type="dxa"/>
          </w:tcPr>
          <w:p w14:paraId="3A3DE362" w14:textId="77777777" w:rsidR="00E93E44" w:rsidRDefault="00E93E44" w:rsidP="00F303C9">
            <w:pPr>
              <w:rPr>
                <w:rFonts w:ascii="Arial" w:hAnsi="Arial" w:cs="Arial"/>
                <w:sz w:val="24"/>
                <w:szCs w:val="24"/>
              </w:rPr>
            </w:pPr>
            <w:r>
              <w:rPr>
                <w:rFonts w:ascii="Arial" w:hAnsi="Arial" w:cs="Arial"/>
                <w:sz w:val="24"/>
                <w:szCs w:val="24"/>
              </w:rPr>
              <w:t>24%</w:t>
            </w:r>
          </w:p>
        </w:tc>
      </w:tr>
      <w:tr w:rsidR="00E93E44" w14:paraId="716CA600" w14:textId="77777777" w:rsidTr="00F303C9">
        <w:tc>
          <w:tcPr>
            <w:tcW w:w="2600" w:type="dxa"/>
          </w:tcPr>
          <w:p w14:paraId="4F782531" w14:textId="77777777" w:rsidR="00E93E44" w:rsidRDefault="00E93E44" w:rsidP="00F303C9">
            <w:pPr>
              <w:rPr>
                <w:rFonts w:ascii="Arial" w:hAnsi="Arial" w:cs="Arial"/>
                <w:sz w:val="24"/>
                <w:szCs w:val="24"/>
              </w:rPr>
            </w:pPr>
            <w:r>
              <w:rPr>
                <w:rFonts w:ascii="Arial" w:hAnsi="Arial" w:cs="Arial"/>
                <w:sz w:val="24"/>
                <w:szCs w:val="24"/>
              </w:rPr>
              <w:t>Total</w:t>
            </w:r>
          </w:p>
        </w:tc>
        <w:tc>
          <w:tcPr>
            <w:tcW w:w="1430" w:type="dxa"/>
          </w:tcPr>
          <w:p w14:paraId="4F37AD6E" w14:textId="77777777" w:rsidR="00E93E44" w:rsidRDefault="00E93E44" w:rsidP="00F303C9">
            <w:pPr>
              <w:rPr>
                <w:rFonts w:ascii="Arial" w:hAnsi="Arial" w:cs="Arial"/>
                <w:sz w:val="24"/>
                <w:szCs w:val="24"/>
              </w:rPr>
            </w:pPr>
            <w:r>
              <w:rPr>
                <w:rFonts w:ascii="Arial" w:hAnsi="Arial" w:cs="Arial"/>
                <w:sz w:val="24"/>
                <w:szCs w:val="24"/>
              </w:rPr>
              <w:t>$6,050</w:t>
            </w:r>
          </w:p>
        </w:tc>
        <w:tc>
          <w:tcPr>
            <w:tcW w:w="1413" w:type="dxa"/>
          </w:tcPr>
          <w:p w14:paraId="26052CA1" w14:textId="77777777" w:rsidR="00E93E44" w:rsidRDefault="00E93E44" w:rsidP="00F303C9">
            <w:pPr>
              <w:rPr>
                <w:rFonts w:ascii="Arial" w:hAnsi="Arial" w:cs="Arial"/>
                <w:sz w:val="24"/>
                <w:szCs w:val="24"/>
              </w:rPr>
            </w:pPr>
            <w:r>
              <w:rPr>
                <w:rFonts w:ascii="Arial" w:hAnsi="Arial" w:cs="Arial"/>
                <w:sz w:val="24"/>
                <w:szCs w:val="24"/>
              </w:rPr>
              <w:t>$6,570</w:t>
            </w:r>
          </w:p>
        </w:tc>
        <w:tc>
          <w:tcPr>
            <w:tcW w:w="1138" w:type="dxa"/>
          </w:tcPr>
          <w:p w14:paraId="2F8DE3E5" w14:textId="77777777" w:rsidR="00E93E44" w:rsidRDefault="00E93E44" w:rsidP="00F303C9">
            <w:pPr>
              <w:rPr>
                <w:rFonts w:ascii="Arial" w:hAnsi="Arial" w:cs="Arial"/>
                <w:sz w:val="24"/>
                <w:szCs w:val="24"/>
              </w:rPr>
            </w:pPr>
            <w:r>
              <w:rPr>
                <w:rFonts w:ascii="Arial" w:hAnsi="Arial" w:cs="Arial"/>
                <w:sz w:val="24"/>
                <w:szCs w:val="24"/>
              </w:rPr>
              <w:t>8.6%</w:t>
            </w:r>
          </w:p>
        </w:tc>
      </w:tr>
    </w:tbl>
    <w:p w14:paraId="702937B9" w14:textId="77777777" w:rsidR="00E93E44" w:rsidRPr="00774629" w:rsidRDefault="00E93E44" w:rsidP="00E93E44">
      <w:pPr>
        <w:ind w:left="360"/>
        <w:rPr>
          <w:rFonts w:ascii="Arial" w:hAnsi="Arial" w:cs="Arial"/>
          <w:sz w:val="24"/>
          <w:szCs w:val="24"/>
        </w:rPr>
      </w:pPr>
    </w:p>
    <w:p w14:paraId="784B996F" w14:textId="77777777" w:rsidR="00E93E44" w:rsidRPr="00B55B4C" w:rsidRDefault="00E93E44" w:rsidP="00E93E44">
      <w:pPr>
        <w:rPr>
          <w:rFonts w:ascii="Arial" w:hAnsi="Arial" w:cs="Arial"/>
          <w:sz w:val="24"/>
          <w:szCs w:val="24"/>
        </w:rPr>
      </w:pPr>
      <w:r>
        <w:rPr>
          <w:rFonts w:ascii="Arial" w:hAnsi="Arial" w:cs="Arial"/>
          <w:sz w:val="24"/>
          <w:szCs w:val="24"/>
        </w:rPr>
        <w:t xml:space="preserve">      Suite Style Plans</w:t>
      </w:r>
    </w:p>
    <w:p w14:paraId="074A2074" w14:textId="77777777" w:rsidR="00E93E44" w:rsidRDefault="00E93E44" w:rsidP="00E93E44">
      <w:pPr>
        <w:rPr>
          <w:rFonts w:ascii="Arial" w:hAnsi="Arial" w:cs="Arial"/>
          <w:sz w:val="24"/>
          <w:szCs w:val="24"/>
        </w:rPr>
      </w:pPr>
      <w:r>
        <w:rPr>
          <w:rFonts w:ascii="Arial" w:hAnsi="Arial" w:cs="Arial"/>
          <w:sz w:val="24"/>
          <w:szCs w:val="24"/>
        </w:rPr>
        <w:tab/>
      </w:r>
    </w:p>
    <w:tbl>
      <w:tblPr>
        <w:tblStyle w:val="TableGrid"/>
        <w:tblW w:w="0" w:type="auto"/>
        <w:tblInd w:w="360" w:type="dxa"/>
        <w:tblLook w:val="04A0" w:firstRow="1" w:lastRow="0" w:firstColumn="1" w:lastColumn="0" w:noHBand="0" w:noVBand="1"/>
      </w:tblPr>
      <w:tblGrid>
        <w:gridCol w:w="2600"/>
        <w:gridCol w:w="1430"/>
        <w:gridCol w:w="1413"/>
        <w:gridCol w:w="1138"/>
      </w:tblGrid>
      <w:tr w:rsidR="00E93E44" w14:paraId="0E32D92C" w14:textId="77777777" w:rsidTr="00F303C9">
        <w:tc>
          <w:tcPr>
            <w:tcW w:w="2600" w:type="dxa"/>
          </w:tcPr>
          <w:p w14:paraId="41CBAF9F" w14:textId="77777777" w:rsidR="00E93E44" w:rsidRDefault="00E93E44" w:rsidP="00F303C9">
            <w:pPr>
              <w:rPr>
                <w:rFonts w:ascii="Arial" w:hAnsi="Arial" w:cs="Arial"/>
                <w:sz w:val="24"/>
                <w:szCs w:val="24"/>
              </w:rPr>
            </w:pPr>
          </w:p>
        </w:tc>
        <w:tc>
          <w:tcPr>
            <w:tcW w:w="1430" w:type="dxa"/>
          </w:tcPr>
          <w:p w14:paraId="3E1D4A6B" w14:textId="77777777" w:rsidR="00E93E44" w:rsidRDefault="00E93E44" w:rsidP="00F303C9">
            <w:pPr>
              <w:rPr>
                <w:rFonts w:ascii="Arial" w:hAnsi="Arial" w:cs="Arial"/>
                <w:sz w:val="24"/>
                <w:szCs w:val="24"/>
              </w:rPr>
            </w:pPr>
            <w:r>
              <w:rPr>
                <w:rFonts w:ascii="Arial" w:hAnsi="Arial" w:cs="Arial"/>
                <w:sz w:val="24"/>
                <w:szCs w:val="24"/>
              </w:rPr>
              <w:t>Current</w:t>
            </w:r>
          </w:p>
        </w:tc>
        <w:tc>
          <w:tcPr>
            <w:tcW w:w="1413" w:type="dxa"/>
          </w:tcPr>
          <w:p w14:paraId="04BCB4AE" w14:textId="77777777" w:rsidR="00E93E44" w:rsidRDefault="00E93E44" w:rsidP="00F303C9">
            <w:pPr>
              <w:rPr>
                <w:rFonts w:ascii="Arial" w:hAnsi="Arial" w:cs="Arial"/>
                <w:sz w:val="24"/>
                <w:szCs w:val="24"/>
              </w:rPr>
            </w:pPr>
            <w:r>
              <w:rPr>
                <w:rFonts w:ascii="Arial" w:hAnsi="Arial" w:cs="Arial"/>
                <w:sz w:val="24"/>
                <w:szCs w:val="24"/>
              </w:rPr>
              <w:t>Proposed</w:t>
            </w:r>
          </w:p>
        </w:tc>
        <w:tc>
          <w:tcPr>
            <w:tcW w:w="1138" w:type="dxa"/>
          </w:tcPr>
          <w:p w14:paraId="566C2777" w14:textId="77777777" w:rsidR="00E93E44" w:rsidRDefault="00E93E44" w:rsidP="00F303C9">
            <w:pPr>
              <w:rPr>
                <w:rFonts w:ascii="Arial" w:hAnsi="Arial" w:cs="Arial"/>
                <w:sz w:val="24"/>
                <w:szCs w:val="24"/>
              </w:rPr>
            </w:pPr>
            <w:r>
              <w:rPr>
                <w:rFonts w:ascii="Arial" w:hAnsi="Arial" w:cs="Arial"/>
                <w:sz w:val="24"/>
                <w:szCs w:val="24"/>
              </w:rPr>
              <w:t>Change</w:t>
            </w:r>
          </w:p>
        </w:tc>
      </w:tr>
      <w:tr w:rsidR="00E93E44" w14:paraId="4005ECCB" w14:textId="77777777" w:rsidTr="00F303C9">
        <w:tc>
          <w:tcPr>
            <w:tcW w:w="2600" w:type="dxa"/>
          </w:tcPr>
          <w:p w14:paraId="4FC237C3" w14:textId="77777777" w:rsidR="00E93E44" w:rsidRDefault="00E93E44" w:rsidP="00F303C9">
            <w:pPr>
              <w:rPr>
                <w:rFonts w:ascii="Arial" w:hAnsi="Arial" w:cs="Arial"/>
                <w:sz w:val="24"/>
                <w:szCs w:val="24"/>
              </w:rPr>
            </w:pPr>
            <w:r>
              <w:rPr>
                <w:rFonts w:ascii="Arial" w:hAnsi="Arial" w:cs="Arial"/>
                <w:sz w:val="24"/>
                <w:szCs w:val="24"/>
              </w:rPr>
              <w:t>Declining Balance</w:t>
            </w:r>
          </w:p>
        </w:tc>
        <w:tc>
          <w:tcPr>
            <w:tcW w:w="1430" w:type="dxa"/>
          </w:tcPr>
          <w:p w14:paraId="68E21851" w14:textId="77777777" w:rsidR="00E93E44" w:rsidRDefault="00E93E44" w:rsidP="00F303C9">
            <w:pPr>
              <w:rPr>
                <w:rFonts w:ascii="Arial" w:hAnsi="Arial" w:cs="Arial"/>
                <w:sz w:val="24"/>
                <w:szCs w:val="24"/>
              </w:rPr>
            </w:pPr>
            <w:r>
              <w:rPr>
                <w:rFonts w:ascii="Arial" w:hAnsi="Arial" w:cs="Arial"/>
                <w:sz w:val="24"/>
                <w:szCs w:val="24"/>
              </w:rPr>
              <w:t>$3,200</w:t>
            </w:r>
          </w:p>
        </w:tc>
        <w:tc>
          <w:tcPr>
            <w:tcW w:w="1413" w:type="dxa"/>
          </w:tcPr>
          <w:p w14:paraId="44CBCB85" w14:textId="77777777" w:rsidR="00E93E44" w:rsidRDefault="00E93E44" w:rsidP="00F303C9">
            <w:pPr>
              <w:rPr>
                <w:rFonts w:ascii="Arial" w:hAnsi="Arial" w:cs="Arial"/>
                <w:sz w:val="24"/>
                <w:szCs w:val="24"/>
              </w:rPr>
            </w:pPr>
            <w:r>
              <w:rPr>
                <w:rFonts w:ascii="Arial" w:hAnsi="Arial" w:cs="Arial"/>
                <w:sz w:val="24"/>
                <w:szCs w:val="24"/>
              </w:rPr>
              <w:t>$3,350</w:t>
            </w:r>
          </w:p>
        </w:tc>
        <w:tc>
          <w:tcPr>
            <w:tcW w:w="1138" w:type="dxa"/>
          </w:tcPr>
          <w:p w14:paraId="594B7CF7" w14:textId="77777777" w:rsidR="00E93E44" w:rsidRDefault="00E93E44" w:rsidP="00F303C9">
            <w:pPr>
              <w:rPr>
                <w:rFonts w:ascii="Arial" w:hAnsi="Arial" w:cs="Arial"/>
                <w:sz w:val="24"/>
                <w:szCs w:val="24"/>
              </w:rPr>
            </w:pPr>
            <w:r>
              <w:rPr>
                <w:rFonts w:ascii="Arial" w:hAnsi="Arial" w:cs="Arial"/>
                <w:sz w:val="24"/>
                <w:szCs w:val="24"/>
              </w:rPr>
              <w:t>4.7%</w:t>
            </w:r>
          </w:p>
        </w:tc>
      </w:tr>
      <w:tr w:rsidR="00E93E44" w14:paraId="76C5A625" w14:textId="77777777" w:rsidTr="00F303C9">
        <w:tc>
          <w:tcPr>
            <w:tcW w:w="2600" w:type="dxa"/>
          </w:tcPr>
          <w:p w14:paraId="3E59F226" w14:textId="77777777" w:rsidR="00E93E44" w:rsidRDefault="00E93E44" w:rsidP="00F303C9">
            <w:pPr>
              <w:rPr>
                <w:rFonts w:ascii="Arial" w:hAnsi="Arial" w:cs="Arial"/>
                <w:sz w:val="24"/>
                <w:szCs w:val="24"/>
              </w:rPr>
            </w:pPr>
            <w:r>
              <w:rPr>
                <w:rFonts w:ascii="Arial" w:hAnsi="Arial" w:cs="Arial"/>
                <w:sz w:val="24"/>
                <w:szCs w:val="24"/>
              </w:rPr>
              <w:t>Overhead</w:t>
            </w:r>
          </w:p>
        </w:tc>
        <w:tc>
          <w:tcPr>
            <w:tcW w:w="1430" w:type="dxa"/>
          </w:tcPr>
          <w:p w14:paraId="1BAB83CF" w14:textId="77777777" w:rsidR="00E93E44" w:rsidRDefault="00E93E44" w:rsidP="00F303C9">
            <w:pPr>
              <w:rPr>
                <w:rFonts w:ascii="Arial" w:hAnsi="Arial" w:cs="Arial"/>
                <w:sz w:val="24"/>
                <w:szCs w:val="24"/>
              </w:rPr>
            </w:pPr>
            <w:r>
              <w:rPr>
                <w:rFonts w:ascii="Arial" w:hAnsi="Arial" w:cs="Arial"/>
                <w:sz w:val="24"/>
                <w:szCs w:val="24"/>
              </w:rPr>
              <w:t>$950</w:t>
            </w:r>
          </w:p>
        </w:tc>
        <w:tc>
          <w:tcPr>
            <w:tcW w:w="1413" w:type="dxa"/>
          </w:tcPr>
          <w:p w14:paraId="1DEC542C" w14:textId="77777777" w:rsidR="00E93E44" w:rsidRDefault="00E93E44" w:rsidP="00F303C9">
            <w:pPr>
              <w:rPr>
                <w:rFonts w:ascii="Arial" w:hAnsi="Arial" w:cs="Arial"/>
                <w:sz w:val="24"/>
                <w:szCs w:val="24"/>
              </w:rPr>
            </w:pPr>
            <w:r>
              <w:rPr>
                <w:rFonts w:ascii="Arial" w:hAnsi="Arial" w:cs="Arial"/>
                <w:sz w:val="24"/>
                <w:szCs w:val="24"/>
              </w:rPr>
              <w:t>$1,250</w:t>
            </w:r>
          </w:p>
        </w:tc>
        <w:tc>
          <w:tcPr>
            <w:tcW w:w="1138" w:type="dxa"/>
          </w:tcPr>
          <w:p w14:paraId="0E65E9C3" w14:textId="77777777" w:rsidR="00E93E44" w:rsidRDefault="00E93E44" w:rsidP="00F303C9">
            <w:pPr>
              <w:rPr>
                <w:rFonts w:ascii="Arial" w:hAnsi="Arial" w:cs="Arial"/>
                <w:sz w:val="24"/>
                <w:szCs w:val="24"/>
              </w:rPr>
            </w:pPr>
            <w:r>
              <w:rPr>
                <w:rFonts w:ascii="Arial" w:hAnsi="Arial" w:cs="Arial"/>
                <w:sz w:val="24"/>
                <w:szCs w:val="24"/>
              </w:rPr>
              <w:t>31.6%</w:t>
            </w:r>
          </w:p>
        </w:tc>
      </w:tr>
      <w:tr w:rsidR="00E93E44" w14:paraId="5E15A0FB" w14:textId="77777777" w:rsidTr="00F303C9">
        <w:tc>
          <w:tcPr>
            <w:tcW w:w="2600" w:type="dxa"/>
          </w:tcPr>
          <w:p w14:paraId="1783BE26" w14:textId="77777777" w:rsidR="00E93E44" w:rsidRDefault="00E93E44" w:rsidP="00F303C9">
            <w:pPr>
              <w:rPr>
                <w:rFonts w:ascii="Arial" w:hAnsi="Arial" w:cs="Arial"/>
                <w:sz w:val="24"/>
                <w:szCs w:val="24"/>
              </w:rPr>
            </w:pPr>
            <w:r>
              <w:rPr>
                <w:rFonts w:ascii="Arial" w:hAnsi="Arial" w:cs="Arial"/>
                <w:sz w:val="24"/>
                <w:szCs w:val="24"/>
              </w:rPr>
              <w:t>Total</w:t>
            </w:r>
          </w:p>
        </w:tc>
        <w:tc>
          <w:tcPr>
            <w:tcW w:w="1430" w:type="dxa"/>
          </w:tcPr>
          <w:p w14:paraId="34227014" w14:textId="77777777" w:rsidR="00E93E44" w:rsidRDefault="00E93E44" w:rsidP="00F303C9">
            <w:pPr>
              <w:rPr>
                <w:rFonts w:ascii="Arial" w:hAnsi="Arial" w:cs="Arial"/>
                <w:sz w:val="24"/>
                <w:szCs w:val="24"/>
              </w:rPr>
            </w:pPr>
            <w:r>
              <w:rPr>
                <w:rFonts w:ascii="Arial" w:hAnsi="Arial" w:cs="Arial"/>
                <w:sz w:val="24"/>
                <w:szCs w:val="24"/>
              </w:rPr>
              <w:t>$4,150</w:t>
            </w:r>
          </w:p>
        </w:tc>
        <w:tc>
          <w:tcPr>
            <w:tcW w:w="1413" w:type="dxa"/>
          </w:tcPr>
          <w:p w14:paraId="2832728E" w14:textId="77777777" w:rsidR="00E93E44" w:rsidRDefault="00E93E44" w:rsidP="00F303C9">
            <w:pPr>
              <w:rPr>
                <w:rFonts w:ascii="Arial" w:hAnsi="Arial" w:cs="Arial"/>
                <w:sz w:val="24"/>
                <w:szCs w:val="24"/>
              </w:rPr>
            </w:pPr>
            <w:r>
              <w:rPr>
                <w:rFonts w:ascii="Arial" w:hAnsi="Arial" w:cs="Arial"/>
                <w:sz w:val="24"/>
                <w:szCs w:val="24"/>
              </w:rPr>
              <w:t>$4,600</w:t>
            </w:r>
          </w:p>
        </w:tc>
        <w:tc>
          <w:tcPr>
            <w:tcW w:w="1138" w:type="dxa"/>
          </w:tcPr>
          <w:p w14:paraId="32616969" w14:textId="77777777" w:rsidR="00E93E44" w:rsidRDefault="00E93E44" w:rsidP="00F303C9">
            <w:pPr>
              <w:rPr>
                <w:rFonts w:ascii="Arial" w:hAnsi="Arial" w:cs="Arial"/>
                <w:sz w:val="24"/>
                <w:szCs w:val="24"/>
              </w:rPr>
            </w:pPr>
            <w:r>
              <w:rPr>
                <w:rFonts w:ascii="Arial" w:hAnsi="Arial" w:cs="Arial"/>
                <w:sz w:val="24"/>
                <w:szCs w:val="24"/>
              </w:rPr>
              <w:t>10.8%</w:t>
            </w:r>
          </w:p>
        </w:tc>
      </w:tr>
    </w:tbl>
    <w:p w14:paraId="7ECDB417" w14:textId="77777777" w:rsidR="00E93E44" w:rsidRDefault="00E93E44" w:rsidP="00E93E44">
      <w:pPr>
        <w:rPr>
          <w:rFonts w:ascii="Arial" w:hAnsi="Arial" w:cs="Arial"/>
          <w:sz w:val="24"/>
          <w:szCs w:val="24"/>
        </w:rPr>
      </w:pPr>
    </w:p>
    <w:p w14:paraId="3482E0AD" w14:textId="77777777" w:rsidR="00E93E44" w:rsidRDefault="00E93E44" w:rsidP="00E93E44">
      <w:pPr>
        <w:rPr>
          <w:rFonts w:ascii="Arial" w:hAnsi="Arial" w:cs="Arial"/>
          <w:sz w:val="24"/>
          <w:szCs w:val="24"/>
        </w:rPr>
      </w:pPr>
    </w:p>
    <w:bookmarkEnd w:id="1"/>
    <w:bookmarkEnd w:id="2"/>
    <w:bookmarkEnd w:id="3"/>
    <w:p w14:paraId="7C11C34B" w14:textId="77777777" w:rsidR="0016253E" w:rsidRDefault="0016253E" w:rsidP="00F202FE">
      <w:pPr>
        <w:spacing w:after="0" w:line="240" w:lineRule="auto"/>
        <w:rPr>
          <w:sz w:val="24"/>
          <w:szCs w:val="24"/>
          <w:u w:val="single"/>
        </w:rPr>
      </w:pPr>
    </w:p>
    <w:sectPr w:rsidR="0016253E" w:rsidSect="00B01E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4180" w14:textId="77777777" w:rsidR="00655BC9" w:rsidRDefault="00655BC9" w:rsidP="00BC6A02">
      <w:pPr>
        <w:spacing w:after="0" w:line="240" w:lineRule="auto"/>
      </w:pPr>
      <w:r>
        <w:separator/>
      </w:r>
    </w:p>
  </w:endnote>
  <w:endnote w:type="continuationSeparator" w:id="0">
    <w:p w14:paraId="691F3C20" w14:textId="77777777" w:rsidR="00655BC9" w:rsidRDefault="00655BC9"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15F0" w14:textId="77777777" w:rsidR="00655BC9" w:rsidRDefault="00655BC9" w:rsidP="00BC6A02">
      <w:pPr>
        <w:spacing w:after="0" w:line="240" w:lineRule="auto"/>
      </w:pPr>
      <w:r>
        <w:separator/>
      </w:r>
    </w:p>
  </w:footnote>
  <w:footnote w:type="continuationSeparator" w:id="0">
    <w:p w14:paraId="1EDA1154" w14:textId="77777777" w:rsidR="00655BC9" w:rsidRDefault="00655BC9"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86E"/>
    <w:multiLevelType w:val="multilevel"/>
    <w:tmpl w:val="CF823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DE2968"/>
    <w:multiLevelType w:val="hybridMultilevel"/>
    <w:tmpl w:val="5086AA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436284"/>
    <w:multiLevelType w:val="multilevel"/>
    <w:tmpl w:val="609CB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80682"/>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C017FC"/>
    <w:multiLevelType w:val="multilevel"/>
    <w:tmpl w:val="A1D2A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D3B9E"/>
    <w:multiLevelType w:val="hybridMultilevel"/>
    <w:tmpl w:val="BB6A80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1EE167A"/>
    <w:multiLevelType w:val="multilevel"/>
    <w:tmpl w:val="151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1747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F54BD8"/>
    <w:multiLevelType w:val="hybridMultilevel"/>
    <w:tmpl w:val="E1643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B0A80"/>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6160A6"/>
    <w:multiLevelType w:val="hybridMultilevel"/>
    <w:tmpl w:val="4BFA34B8"/>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F51B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2126B9"/>
    <w:multiLevelType w:val="multilevel"/>
    <w:tmpl w:val="9FD4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206F0"/>
    <w:multiLevelType w:val="hybridMultilevel"/>
    <w:tmpl w:val="B2E4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ED225F"/>
    <w:multiLevelType w:val="hybridMultilevel"/>
    <w:tmpl w:val="B88AF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B5268"/>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4F083277"/>
    <w:multiLevelType w:val="hybridMultilevel"/>
    <w:tmpl w:val="CB3E88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DA69D3"/>
    <w:multiLevelType w:val="hybridMultilevel"/>
    <w:tmpl w:val="9086C85E"/>
    <w:lvl w:ilvl="0" w:tplc="CE10C9F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55F03036"/>
    <w:multiLevelType w:val="multilevel"/>
    <w:tmpl w:val="A1D2A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7D4167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80617E"/>
    <w:multiLevelType w:val="hybridMultilevel"/>
    <w:tmpl w:val="E4AE7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A832544"/>
    <w:multiLevelType w:val="multilevel"/>
    <w:tmpl w:val="9DF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6B5980"/>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FAB6120"/>
    <w:multiLevelType w:val="hybridMultilevel"/>
    <w:tmpl w:val="9EFC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0FE35F4"/>
    <w:multiLevelType w:val="hybridMultilevel"/>
    <w:tmpl w:val="8488C298"/>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CA5013"/>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2DA05A6"/>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8" w15:restartNumberingAfterBreak="0">
    <w:nsid w:val="63312BAC"/>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6452705"/>
    <w:multiLevelType w:val="multilevel"/>
    <w:tmpl w:val="2F24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665248"/>
    <w:multiLevelType w:val="multilevel"/>
    <w:tmpl w:val="BDD0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F1234A"/>
    <w:multiLevelType w:val="multilevel"/>
    <w:tmpl w:val="0FCA0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C5660C"/>
    <w:multiLevelType w:val="multilevel"/>
    <w:tmpl w:val="5988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E62231"/>
    <w:multiLevelType w:val="hybridMultilevel"/>
    <w:tmpl w:val="BB52B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1052C7"/>
    <w:multiLevelType w:val="multilevel"/>
    <w:tmpl w:val="A1D2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76DA56FB"/>
    <w:multiLevelType w:val="hybridMultilevel"/>
    <w:tmpl w:val="05B8C77A"/>
    <w:lvl w:ilvl="0" w:tplc="D9FAD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9F863F0"/>
    <w:multiLevelType w:val="hybridMultilevel"/>
    <w:tmpl w:val="A6A6D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3"/>
  </w:num>
  <w:num w:numId="2" w16cid:durableId="1844513920">
    <w:abstractNumId w:val="21"/>
  </w:num>
  <w:num w:numId="3" w16cid:durableId="203299948">
    <w:abstractNumId w:val="11"/>
  </w:num>
  <w:num w:numId="4" w16cid:durableId="1106119359">
    <w:abstractNumId w:val="7"/>
  </w:num>
  <w:num w:numId="5" w16cid:durableId="1797599806">
    <w:abstractNumId w:val="33"/>
  </w:num>
  <w:num w:numId="6" w16cid:durableId="741148601">
    <w:abstractNumId w:val="47"/>
  </w:num>
  <w:num w:numId="7" w16cid:durableId="910845635">
    <w:abstractNumId w:val="59"/>
  </w:num>
  <w:num w:numId="8" w16cid:durableId="1065110463">
    <w:abstractNumId w:val="15"/>
  </w:num>
  <w:num w:numId="9" w16cid:durableId="576939140">
    <w:abstractNumId w:val="25"/>
  </w:num>
  <w:num w:numId="10" w16cid:durableId="1639409382">
    <w:abstractNumId w:val="23"/>
  </w:num>
  <w:num w:numId="11" w16cid:durableId="234164647">
    <w:abstractNumId w:val="37"/>
  </w:num>
  <w:num w:numId="12" w16cid:durableId="435901793">
    <w:abstractNumId w:val="1"/>
  </w:num>
  <w:num w:numId="13" w16cid:durableId="381951880">
    <w:abstractNumId w:val="43"/>
  </w:num>
  <w:num w:numId="14" w16cid:durableId="674460065">
    <w:abstractNumId w:val="26"/>
  </w:num>
  <w:num w:numId="15" w16cid:durableId="403144435">
    <w:abstractNumId w:val="13"/>
  </w:num>
  <w:num w:numId="16" w16cid:durableId="1823735890">
    <w:abstractNumId w:val="10"/>
  </w:num>
  <w:num w:numId="17" w16cid:durableId="2040353652">
    <w:abstractNumId w:val="56"/>
  </w:num>
  <w:num w:numId="18" w16cid:durableId="1337269686">
    <w:abstractNumId w:val="29"/>
  </w:num>
  <w:num w:numId="19" w16cid:durableId="193419800">
    <w:abstractNumId w:val="35"/>
  </w:num>
  <w:num w:numId="20" w16cid:durableId="292177749">
    <w:abstractNumId w:val="30"/>
  </w:num>
  <w:num w:numId="21" w16cid:durableId="1241524800">
    <w:abstractNumId w:val="49"/>
  </w:num>
  <w:num w:numId="22" w16cid:durableId="326061667">
    <w:abstractNumId w:val="34"/>
  </w:num>
  <w:num w:numId="23" w16cid:durableId="1860662899">
    <w:abstractNumId w:val="24"/>
  </w:num>
  <w:num w:numId="24" w16cid:durableId="1764491288">
    <w:abstractNumId w:val="22"/>
  </w:num>
  <w:num w:numId="25" w16cid:durableId="1752043155">
    <w:abstractNumId w:val="42"/>
  </w:num>
  <w:num w:numId="26" w16cid:durableId="1126581980">
    <w:abstractNumId w:val="27"/>
  </w:num>
  <w:num w:numId="27" w16cid:durableId="909386635">
    <w:abstractNumId w:val="54"/>
  </w:num>
  <w:num w:numId="28" w16cid:durableId="550730523">
    <w:abstractNumId w:val="20"/>
  </w:num>
  <w:num w:numId="29" w16cid:durableId="1995723158">
    <w:abstractNumId w:val="12"/>
  </w:num>
  <w:num w:numId="30" w16cid:durableId="788816497">
    <w:abstractNumId w:val="28"/>
  </w:num>
  <w:num w:numId="31" w16cid:durableId="969944677">
    <w:abstractNumId w:val="41"/>
  </w:num>
  <w:num w:numId="32" w16cid:durableId="2064477345">
    <w:abstractNumId w:val="16"/>
  </w:num>
  <w:num w:numId="33" w16cid:durableId="1164004669">
    <w:abstractNumId w:val="39"/>
  </w:num>
  <w:num w:numId="34" w16cid:durableId="1792899253">
    <w:abstractNumId w:val="2"/>
  </w:num>
  <w:num w:numId="35" w16cid:durableId="557398360">
    <w:abstractNumId w:val="14"/>
  </w:num>
  <w:num w:numId="36" w16cid:durableId="1685285586">
    <w:abstractNumId w:val="46"/>
  </w:num>
  <w:num w:numId="37" w16cid:durableId="1591311117">
    <w:abstractNumId w:val="57"/>
  </w:num>
  <w:num w:numId="38" w16cid:durableId="262078474">
    <w:abstractNumId w:val="48"/>
  </w:num>
  <w:num w:numId="39" w16cid:durableId="44574447">
    <w:abstractNumId w:val="58"/>
  </w:num>
  <w:num w:numId="40" w16cid:durableId="1757359681">
    <w:abstractNumId w:val="17"/>
  </w:num>
  <w:num w:numId="41" w16cid:durableId="698624121">
    <w:abstractNumId w:val="38"/>
  </w:num>
  <w:num w:numId="42" w16cid:durableId="894196497">
    <w:abstractNumId w:val="45"/>
  </w:num>
  <w:num w:numId="43" w16cid:durableId="50660377">
    <w:abstractNumId w:val="32"/>
  </w:num>
  <w:num w:numId="44" w16cid:durableId="1077290755">
    <w:abstractNumId w:val="31"/>
  </w:num>
  <w:num w:numId="45" w16cid:durableId="1622344338">
    <w:abstractNumId w:val="50"/>
  </w:num>
  <w:num w:numId="46" w16cid:durableId="1866943121">
    <w:abstractNumId w:val="40"/>
  </w:num>
  <w:num w:numId="47" w16cid:durableId="854851973">
    <w:abstractNumId w:val="51"/>
  </w:num>
  <w:num w:numId="48" w16cid:durableId="151069561">
    <w:abstractNumId w:val="55"/>
  </w:num>
  <w:num w:numId="49" w16cid:durableId="794831563">
    <w:abstractNumId w:val="19"/>
  </w:num>
  <w:num w:numId="50" w16cid:durableId="1386686388">
    <w:abstractNumId w:val="53"/>
  </w:num>
  <w:num w:numId="51" w16cid:durableId="940458378">
    <w:abstractNumId w:val="52"/>
  </w:num>
  <w:num w:numId="52" w16cid:durableId="1497065800">
    <w:abstractNumId w:val="9"/>
  </w:num>
  <w:num w:numId="53" w16cid:durableId="1479804864">
    <w:abstractNumId w:val="4"/>
  </w:num>
  <w:num w:numId="54" w16cid:durableId="1005982955">
    <w:abstractNumId w:val="0"/>
  </w:num>
  <w:num w:numId="55" w16cid:durableId="2004887676">
    <w:abstractNumId w:val="36"/>
  </w:num>
  <w:num w:numId="56" w16cid:durableId="1836724637">
    <w:abstractNumId w:val="6"/>
  </w:num>
  <w:num w:numId="57" w16cid:durableId="788621272">
    <w:abstractNumId w:val="8"/>
  </w:num>
  <w:num w:numId="58" w16cid:durableId="92476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898211">
    <w:abstractNumId w:val="44"/>
  </w:num>
  <w:num w:numId="60" w16cid:durableId="839658434">
    <w:abstractNumId w:val="18"/>
  </w:num>
  <w:num w:numId="61" w16cid:durableId="1258903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249E4"/>
    <w:rsid w:val="00065C04"/>
    <w:rsid w:val="00080F68"/>
    <w:rsid w:val="0009794C"/>
    <w:rsid w:val="000A4459"/>
    <w:rsid w:val="000B03D7"/>
    <w:rsid w:val="000B3142"/>
    <w:rsid w:val="000E229A"/>
    <w:rsid w:val="001070C8"/>
    <w:rsid w:val="00130598"/>
    <w:rsid w:val="00146F2B"/>
    <w:rsid w:val="0015398C"/>
    <w:rsid w:val="001542F1"/>
    <w:rsid w:val="0016253E"/>
    <w:rsid w:val="00167BF7"/>
    <w:rsid w:val="00193591"/>
    <w:rsid w:val="001A1A43"/>
    <w:rsid w:val="001A7BCB"/>
    <w:rsid w:val="001E1DBF"/>
    <w:rsid w:val="001E2D41"/>
    <w:rsid w:val="001E504C"/>
    <w:rsid w:val="001F1E60"/>
    <w:rsid w:val="001F2E6A"/>
    <w:rsid w:val="00262BE2"/>
    <w:rsid w:val="00262D51"/>
    <w:rsid w:val="00271777"/>
    <w:rsid w:val="002822E5"/>
    <w:rsid w:val="00297871"/>
    <w:rsid w:val="002A3F0F"/>
    <w:rsid w:val="002C240E"/>
    <w:rsid w:val="002F56B7"/>
    <w:rsid w:val="002F5A91"/>
    <w:rsid w:val="003117C3"/>
    <w:rsid w:val="00343696"/>
    <w:rsid w:val="0034388D"/>
    <w:rsid w:val="0035102F"/>
    <w:rsid w:val="00351283"/>
    <w:rsid w:val="003557CF"/>
    <w:rsid w:val="0037380A"/>
    <w:rsid w:val="003B0FA4"/>
    <w:rsid w:val="003B3E24"/>
    <w:rsid w:val="003C181F"/>
    <w:rsid w:val="003D2952"/>
    <w:rsid w:val="00405437"/>
    <w:rsid w:val="00415D4D"/>
    <w:rsid w:val="0043791F"/>
    <w:rsid w:val="00474151"/>
    <w:rsid w:val="00487672"/>
    <w:rsid w:val="00487F1B"/>
    <w:rsid w:val="0049328E"/>
    <w:rsid w:val="004947AA"/>
    <w:rsid w:val="004C5322"/>
    <w:rsid w:val="004D7281"/>
    <w:rsid w:val="004F751C"/>
    <w:rsid w:val="00502DAD"/>
    <w:rsid w:val="00510EA2"/>
    <w:rsid w:val="0051261C"/>
    <w:rsid w:val="0053006D"/>
    <w:rsid w:val="005312E9"/>
    <w:rsid w:val="00542F84"/>
    <w:rsid w:val="00545EFB"/>
    <w:rsid w:val="0055678A"/>
    <w:rsid w:val="0056457A"/>
    <w:rsid w:val="005722B6"/>
    <w:rsid w:val="0057545D"/>
    <w:rsid w:val="005A3D8E"/>
    <w:rsid w:val="005B38CF"/>
    <w:rsid w:val="005B7087"/>
    <w:rsid w:val="005D2852"/>
    <w:rsid w:val="005F49FC"/>
    <w:rsid w:val="006125CE"/>
    <w:rsid w:val="00615397"/>
    <w:rsid w:val="00617CFC"/>
    <w:rsid w:val="006300E0"/>
    <w:rsid w:val="00636679"/>
    <w:rsid w:val="00647657"/>
    <w:rsid w:val="00651348"/>
    <w:rsid w:val="00655BC9"/>
    <w:rsid w:val="006655CE"/>
    <w:rsid w:val="0067263E"/>
    <w:rsid w:val="00674CD7"/>
    <w:rsid w:val="006750BC"/>
    <w:rsid w:val="00682CA0"/>
    <w:rsid w:val="00684095"/>
    <w:rsid w:val="006860B3"/>
    <w:rsid w:val="00690C3B"/>
    <w:rsid w:val="006E197F"/>
    <w:rsid w:val="006E7A3D"/>
    <w:rsid w:val="006F5CCC"/>
    <w:rsid w:val="00714FAF"/>
    <w:rsid w:val="00721242"/>
    <w:rsid w:val="00753357"/>
    <w:rsid w:val="007653F7"/>
    <w:rsid w:val="00772BD8"/>
    <w:rsid w:val="007B2C88"/>
    <w:rsid w:val="007C73E2"/>
    <w:rsid w:val="007C7455"/>
    <w:rsid w:val="007E0B24"/>
    <w:rsid w:val="007F55F1"/>
    <w:rsid w:val="0081102A"/>
    <w:rsid w:val="0081760D"/>
    <w:rsid w:val="0082139D"/>
    <w:rsid w:val="008328CB"/>
    <w:rsid w:val="008543C2"/>
    <w:rsid w:val="00890CFB"/>
    <w:rsid w:val="008A1A41"/>
    <w:rsid w:val="008B1C32"/>
    <w:rsid w:val="008B558B"/>
    <w:rsid w:val="008D2A0C"/>
    <w:rsid w:val="008D7522"/>
    <w:rsid w:val="009413ED"/>
    <w:rsid w:val="00943342"/>
    <w:rsid w:val="00960528"/>
    <w:rsid w:val="00990688"/>
    <w:rsid w:val="009930D9"/>
    <w:rsid w:val="009A60FC"/>
    <w:rsid w:val="009A7B53"/>
    <w:rsid w:val="009E5EAD"/>
    <w:rsid w:val="009F0B71"/>
    <w:rsid w:val="009F5534"/>
    <w:rsid w:val="009F62A0"/>
    <w:rsid w:val="00A6138E"/>
    <w:rsid w:val="00A769CA"/>
    <w:rsid w:val="00A85D6D"/>
    <w:rsid w:val="00A955D0"/>
    <w:rsid w:val="00A96D0B"/>
    <w:rsid w:val="00A97835"/>
    <w:rsid w:val="00AA34D2"/>
    <w:rsid w:val="00AC4F02"/>
    <w:rsid w:val="00AC5252"/>
    <w:rsid w:val="00AE15AA"/>
    <w:rsid w:val="00AF666F"/>
    <w:rsid w:val="00AF6CB1"/>
    <w:rsid w:val="00B01EAC"/>
    <w:rsid w:val="00B40E2A"/>
    <w:rsid w:val="00B53627"/>
    <w:rsid w:val="00B866F0"/>
    <w:rsid w:val="00B91BEE"/>
    <w:rsid w:val="00B9366C"/>
    <w:rsid w:val="00B950B0"/>
    <w:rsid w:val="00B95AAC"/>
    <w:rsid w:val="00BA1A3A"/>
    <w:rsid w:val="00BA50B9"/>
    <w:rsid w:val="00BB1FA0"/>
    <w:rsid w:val="00BB2D82"/>
    <w:rsid w:val="00BC6A02"/>
    <w:rsid w:val="00BC74C9"/>
    <w:rsid w:val="00BE6779"/>
    <w:rsid w:val="00BF0381"/>
    <w:rsid w:val="00BF6D57"/>
    <w:rsid w:val="00C05463"/>
    <w:rsid w:val="00C13BAB"/>
    <w:rsid w:val="00C15C4F"/>
    <w:rsid w:val="00C16BCE"/>
    <w:rsid w:val="00C24794"/>
    <w:rsid w:val="00C30745"/>
    <w:rsid w:val="00C53218"/>
    <w:rsid w:val="00C75C3C"/>
    <w:rsid w:val="00CB1A97"/>
    <w:rsid w:val="00CB6048"/>
    <w:rsid w:val="00CC20E1"/>
    <w:rsid w:val="00CC51B0"/>
    <w:rsid w:val="00CF69C4"/>
    <w:rsid w:val="00CF6FE0"/>
    <w:rsid w:val="00D146EC"/>
    <w:rsid w:val="00D24017"/>
    <w:rsid w:val="00D33B19"/>
    <w:rsid w:val="00D64D1A"/>
    <w:rsid w:val="00D87159"/>
    <w:rsid w:val="00D95CA5"/>
    <w:rsid w:val="00DD7D56"/>
    <w:rsid w:val="00E23DF5"/>
    <w:rsid w:val="00E27934"/>
    <w:rsid w:val="00E81AE2"/>
    <w:rsid w:val="00E93BBA"/>
    <w:rsid w:val="00E93E44"/>
    <w:rsid w:val="00E96755"/>
    <w:rsid w:val="00EC1740"/>
    <w:rsid w:val="00EC4C0A"/>
    <w:rsid w:val="00F012C7"/>
    <w:rsid w:val="00F1588F"/>
    <w:rsid w:val="00F202FE"/>
    <w:rsid w:val="00F433B5"/>
    <w:rsid w:val="00F61A52"/>
    <w:rsid w:val="00F76B79"/>
    <w:rsid w:val="00F7742C"/>
    <w:rsid w:val="00F77CA5"/>
    <w:rsid w:val="00F848E2"/>
    <w:rsid w:val="00F857E9"/>
    <w:rsid w:val="00FA0E2F"/>
    <w:rsid w:val="00FA5942"/>
    <w:rsid w:val="00FB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paragraph" w:styleId="Heading1">
    <w:name w:val="heading 1"/>
    <w:basedOn w:val="Normal"/>
    <w:next w:val="Normal"/>
    <w:link w:val="Heading1Char"/>
    <w:uiPriority w:val="9"/>
    <w:qFormat/>
    <w:rsid w:val="00EC1740"/>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36679"/>
  </w:style>
  <w:style w:type="character" w:customStyle="1" w:styleId="me-email-text-secondary">
    <w:name w:val="me-email-text-secondary"/>
    <w:basedOn w:val="DefaultParagraphFont"/>
    <w:rsid w:val="00636679"/>
  </w:style>
  <w:style w:type="character" w:customStyle="1" w:styleId="Heading1Char">
    <w:name w:val="Heading 1 Char"/>
    <w:basedOn w:val="DefaultParagraphFont"/>
    <w:link w:val="Heading1"/>
    <w:uiPriority w:val="9"/>
    <w:rsid w:val="00EC1740"/>
    <w:rPr>
      <w:rFonts w:asciiTheme="majorHAnsi" w:eastAsiaTheme="majorEastAsia" w:hAnsiTheme="majorHAnsi" w:cstheme="majorBidi"/>
      <w:color w:val="2E74B5" w:themeColor="accent1" w:themeShade="BF"/>
      <w:kern w:val="2"/>
      <w:sz w:val="40"/>
      <w:szCs w:val="40"/>
      <w14:ligatures w14:val="standardContextual"/>
    </w:rPr>
  </w:style>
  <w:style w:type="paragraph" w:styleId="Caption">
    <w:name w:val="caption"/>
    <w:basedOn w:val="Normal"/>
    <w:next w:val="Normal"/>
    <w:uiPriority w:val="35"/>
    <w:unhideWhenUsed/>
    <w:qFormat/>
    <w:rsid w:val="00262D51"/>
    <w:pPr>
      <w:spacing w:after="200" w:line="240" w:lineRule="auto"/>
    </w:pPr>
    <w:rPr>
      <w:i/>
      <w:iCs/>
      <w:color w:val="44546A" w:themeColor="text2"/>
      <w:sz w:val="18"/>
      <w:szCs w:val="18"/>
    </w:rPr>
  </w:style>
  <w:style w:type="paragraph" w:customStyle="1" w:styleId="paragraph">
    <w:name w:val="paragraph"/>
    <w:basedOn w:val="Normal"/>
    <w:rsid w:val="006E7A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7A3D"/>
  </w:style>
  <w:style w:type="character" w:customStyle="1" w:styleId="eop">
    <w:name w:val="eop"/>
    <w:basedOn w:val="DefaultParagraphFont"/>
    <w:rsid w:val="006E7A3D"/>
  </w:style>
  <w:style w:type="paragraph" w:styleId="NormalWeb">
    <w:name w:val="Normal (Web)"/>
    <w:basedOn w:val="Normal"/>
    <w:uiPriority w:val="99"/>
    <w:semiHidden/>
    <w:unhideWhenUsed/>
    <w:rsid w:val="00B866F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B86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078">
      <w:bodyDiv w:val="1"/>
      <w:marLeft w:val="0"/>
      <w:marRight w:val="0"/>
      <w:marTop w:val="0"/>
      <w:marBottom w:val="0"/>
      <w:divBdr>
        <w:top w:val="none" w:sz="0" w:space="0" w:color="auto"/>
        <w:left w:val="none" w:sz="0" w:space="0" w:color="auto"/>
        <w:bottom w:val="none" w:sz="0" w:space="0" w:color="auto"/>
        <w:right w:val="none" w:sz="0" w:space="0" w:color="auto"/>
      </w:divBdr>
      <w:divsChild>
        <w:div w:id="269364023">
          <w:marLeft w:val="0"/>
          <w:marRight w:val="0"/>
          <w:marTop w:val="0"/>
          <w:marBottom w:val="90"/>
          <w:divBdr>
            <w:top w:val="none" w:sz="0" w:space="0" w:color="auto"/>
            <w:left w:val="none" w:sz="0" w:space="0" w:color="auto"/>
            <w:bottom w:val="none" w:sz="0" w:space="0" w:color="auto"/>
            <w:right w:val="none" w:sz="0" w:space="0" w:color="auto"/>
          </w:divBdr>
        </w:div>
      </w:divsChild>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59208211">
      <w:bodyDiv w:val="1"/>
      <w:marLeft w:val="0"/>
      <w:marRight w:val="0"/>
      <w:marTop w:val="0"/>
      <w:marBottom w:val="0"/>
      <w:divBdr>
        <w:top w:val="none" w:sz="0" w:space="0" w:color="auto"/>
        <w:left w:val="none" w:sz="0" w:space="0" w:color="auto"/>
        <w:bottom w:val="none" w:sz="0" w:space="0" w:color="auto"/>
        <w:right w:val="none" w:sz="0" w:space="0" w:color="auto"/>
      </w:divBdr>
    </w:div>
    <w:div w:id="1307054085">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21383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trentu.ca"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1218</Words>
  <Characters>6142</Characters>
  <Application>Microsoft Office Word</Application>
  <DocSecurity>0</DocSecurity>
  <Lines>255</Lines>
  <Paragraphs>150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18</cp:revision>
  <cp:lastPrinted>2019-09-25T13:23:00Z</cp:lastPrinted>
  <dcterms:created xsi:type="dcterms:W3CDTF">2025-11-06T13:43:00Z</dcterms:created>
  <dcterms:modified xsi:type="dcterms:W3CDTF">2025-11-06T14:58:00Z</dcterms:modified>
</cp:coreProperties>
</file>