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A6AC1" w14:textId="42202AFC" w:rsidR="00C7101F" w:rsidRDefault="00592831" w:rsidP="00C7101F">
      <w:pPr>
        <w:ind w:left="-360"/>
        <w:rPr>
          <w:b/>
        </w:rPr>
      </w:pPr>
      <w:r w:rsidRPr="00CA2C0C">
        <w:rPr>
          <w:noProof/>
          <w:lang w:val="en-US" w:eastAsia="en-US"/>
        </w:rPr>
        <w:drawing>
          <wp:inline distT="0" distB="0" distL="0" distR="0" wp14:anchorId="7BA0803F" wp14:editId="3D3CE52A">
            <wp:extent cx="2085975" cy="632460"/>
            <wp:effectExtent l="0" t="0" r="9525" b="0"/>
            <wp:docPr id="2" name="Picture 2" title="Trent Univer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632460"/>
                    </a:xfrm>
                    <a:prstGeom prst="rect">
                      <a:avLst/>
                    </a:prstGeom>
                    <a:noFill/>
                  </pic:spPr>
                </pic:pic>
              </a:graphicData>
            </a:graphic>
          </wp:inline>
        </w:drawing>
      </w:r>
    </w:p>
    <w:p w14:paraId="671DE17B" w14:textId="631E6E08" w:rsidR="00C7101F" w:rsidRDefault="00C7101F" w:rsidP="00C7101F">
      <w:pPr>
        <w:ind w:left="-360"/>
        <w:rPr>
          <w:b/>
        </w:rPr>
      </w:pPr>
    </w:p>
    <w:p w14:paraId="779C197B" w14:textId="632A9F53" w:rsidR="00CB5015" w:rsidRPr="00C7101F" w:rsidRDefault="00C7101F" w:rsidP="00CB5015">
      <w:pPr>
        <w:tabs>
          <w:tab w:val="left" w:pos="4905"/>
        </w:tabs>
        <w:ind w:left="-360" w:firstLine="720"/>
      </w:pPr>
      <w:r w:rsidRPr="00CA2C0C">
        <w:rPr>
          <w:b/>
          <w:noProof/>
          <w:lang w:val="en-US" w:eastAsia="en-US"/>
        </w:rPr>
        <w:drawing>
          <wp:inline distT="0" distB="0" distL="0" distR="0" wp14:anchorId="6DADDB46" wp14:editId="0D3C6973">
            <wp:extent cx="1514475" cy="447675"/>
            <wp:effectExtent l="0" t="0" r="9525" b="9525"/>
            <wp:docPr id="1" name="Picture 1" descr="Trent University Centre for Human Rights, Equity and Accessibility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p w14:paraId="3A8A835D" w14:textId="31C35CCA" w:rsidR="009E318A" w:rsidRPr="00C7101F" w:rsidRDefault="009E318A" w:rsidP="00A600A1">
      <w:pPr>
        <w:pStyle w:val="Heading1"/>
        <w:jc w:val="center"/>
      </w:pPr>
      <w:r w:rsidRPr="00C7101F">
        <w:t>Presidential Advisory Committee on Human Rights, Equity &amp; Accessibility (PACHREA)</w:t>
      </w:r>
    </w:p>
    <w:p w14:paraId="6EDE4E0A" w14:textId="77777777" w:rsidR="009E318A" w:rsidRPr="00C7101F" w:rsidRDefault="009E318A" w:rsidP="00A600A1">
      <w:pPr>
        <w:pStyle w:val="Heading1"/>
        <w:jc w:val="center"/>
      </w:pPr>
    </w:p>
    <w:p w14:paraId="6164CBDE" w14:textId="129A67B4" w:rsidR="009E318A" w:rsidRPr="00A600A1" w:rsidRDefault="00AF32AD" w:rsidP="00AF32AD">
      <w:pPr>
        <w:jc w:val="center"/>
        <w:rPr>
          <w:rFonts w:ascii="Arial" w:hAnsi="Arial" w:cs="Arial"/>
          <w:lang w:eastAsia="en-US"/>
        </w:rPr>
      </w:pPr>
      <w:r w:rsidRPr="00A600A1">
        <w:rPr>
          <w:rFonts w:ascii="Arial" w:hAnsi="Arial" w:cs="Arial"/>
          <w:lang w:eastAsia="en-US"/>
        </w:rPr>
        <w:t>Monday March 10</w:t>
      </w:r>
      <w:r w:rsidR="00A600A1">
        <w:rPr>
          <w:rFonts w:ascii="Arial" w:hAnsi="Arial" w:cs="Arial"/>
          <w:lang w:eastAsia="en-US"/>
        </w:rPr>
        <w:t>, 2014</w:t>
      </w:r>
    </w:p>
    <w:p w14:paraId="72EDF5C3" w14:textId="77777777" w:rsidR="009E318A" w:rsidRPr="00A600A1" w:rsidRDefault="009E318A" w:rsidP="00F3351E">
      <w:pPr>
        <w:jc w:val="center"/>
        <w:rPr>
          <w:rFonts w:ascii="Arial" w:hAnsi="Arial" w:cs="Arial"/>
          <w:lang w:eastAsia="en-US"/>
        </w:rPr>
      </w:pPr>
      <w:r w:rsidRPr="00A600A1">
        <w:rPr>
          <w:rFonts w:ascii="Arial" w:hAnsi="Arial" w:cs="Arial"/>
          <w:lang w:eastAsia="en-US"/>
        </w:rPr>
        <w:t>10:00 a.m. – 12:00 p.m.</w:t>
      </w:r>
    </w:p>
    <w:p w14:paraId="2DFA2C2F" w14:textId="77777777" w:rsidR="009E318A" w:rsidRPr="00CA2C0C" w:rsidRDefault="00AF32AD" w:rsidP="00F3351E">
      <w:pPr>
        <w:jc w:val="center"/>
        <w:rPr>
          <w:lang w:eastAsia="en-US"/>
        </w:rPr>
      </w:pPr>
      <w:r w:rsidRPr="00A600A1">
        <w:rPr>
          <w:rFonts w:ascii="Arial" w:hAnsi="Arial" w:cs="Arial"/>
          <w:lang w:eastAsia="en-US"/>
        </w:rPr>
        <w:t>Blackburn Hall</w:t>
      </w:r>
      <w:r w:rsidR="009E318A" w:rsidRPr="00A600A1">
        <w:rPr>
          <w:rFonts w:ascii="Arial" w:hAnsi="Arial" w:cs="Arial"/>
          <w:lang w:eastAsia="en-US"/>
        </w:rPr>
        <w:t xml:space="preserve">, Room </w:t>
      </w:r>
      <w:r w:rsidRPr="00A600A1">
        <w:rPr>
          <w:rFonts w:ascii="Arial" w:hAnsi="Arial" w:cs="Arial"/>
          <w:lang w:eastAsia="en-US"/>
        </w:rPr>
        <w:t>126</w:t>
      </w:r>
      <w:r w:rsidR="009E318A" w:rsidRPr="00CA2C0C">
        <w:rPr>
          <w:lang w:eastAsia="en-US"/>
        </w:rPr>
        <w:br/>
      </w:r>
    </w:p>
    <w:p w14:paraId="717DC1BE" w14:textId="77777777" w:rsidR="009E318A" w:rsidRPr="00A600A1" w:rsidRDefault="009E318A" w:rsidP="00A600A1">
      <w:pPr>
        <w:pStyle w:val="Heading2"/>
        <w:jc w:val="center"/>
        <w:rPr>
          <w:color w:val="auto"/>
          <w:lang w:eastAsia="en-US"/>
        </w:rPr>
      </w:pPr>
      <w:r w:rsidRPr="00CA2C0C">
        <w:rPr>
          <w:lang w:eastAsia="en-US"/>
        </w:rPr>
        <w:br/>
      </w:r>
      <w:r w:rsidRPr="00A600A1">
        <w:rPr>
          <w:color w:val="auto"/>
          <w:lang w:eastAsia="en-US"/>
        </w:rPr>
        <w:t>MINUTES</w:t>
      </w:r>
    </w:p>
    <w:p w14:paraId="007E787C" w14:textId="77777777" w:rsidR="009E318A" w:rsidRPr="00CA2C0C" w:rsidRDefault="009E318A" w:rsidP="00F3351E">
      <w:pPr>
        <w:jc w:val="center"/>
        <w:rPr>
          <w:b/>
          <w:lang w:eastAsia="en-US"/>
        </w:rPr>
      </w:pPr>
    </w:p>
    <w:p w14:paraId="36A66939" w14:textId="77777777" w:rsidR="00CA2C0C" w:rsidRPr="00A600A1" w:rsidRDefault="009E318A" w:rsidP="00FD5D51">
      <w:pPr>
        <w:pStyle w:val="ListParagraph"/>
        <w:ind w:left="0"/>
        <w:rPr>
          <w:b/>
          <w:lang w:eastAsia="en-US"/>
        </w:rPr>
      </w:pPr>
      <w:r w:rsidRPr="00A600A1">
        <w:rPr>
          <w:b/>
          <w:lang w:eastAsia="en-US"/>
        </w:rPr>
        <w:t xml:space="preserve">Present: </w:t>
      </w:r>
    </w:p>
    <w:p w14:paraId="0EE0D43D" w14:textId="56813F9F" w:rsidR="00FD5D51" w:rsidRPr="00A600A1" w:rsidRDefault="00CA2C0C" w:rsidP="00A600A1">
      <w:pPr>
        <w:pStyle w:val="ListParagraph"/>
        <w:ind w:left="0"/>
        <w:rPr>
          <w:rFonts w:ascii="Arial" w:hAnsi="Arial" w:cs="Arial"/>
        </w:rPr>
      </w:pPr>
      <w:r w:rsidRPr="00A600A1">
        <w:rPr>
          <w:rFonts w:ascii="Arial" w:hAnsi="Arial" w:cs="Arial"/>
          <w:b/>
          <w:lang w:eastAsia="en-US"/>
        </w:rPr>
        <w:t>Committee Members</w:t>
      </w:r>
      <w:r w:rsidRPr="00A600A1">
        <w:rPr>
          <w:rFonts w:ascii="Arial" w:hAnsi="Arial" w:cs="Arial"/>
          <w:lang w:eastAsia="en-US"/>
        </w:rPr>
        <w:t xml:space="preserve">: </w:t>
      </w:r>
      <w:r w:rsidR="009E318A" w:rsidRPr="00A600A1">
        <w:rPr>
          <w:rFonts w:ascii="Arial" w:hAnsi="Arial" w:cs="Arial"/>
          <w:lang w:eastAsia="en-US"/>
        </w:rPr>
        <w:t xml:space="preserve">Michael Allcott (Chair), </w:t>
      </w:r>
      <w:r w:rsidR="00FD5D51" w:rsidRPr="00A600A1">
        <w:rPr>
          <w:rFonts w:ascii="Arial" w:hAnsi="Arial" w:cs="Arial"/>
          <w:lang w:eastAsia="en-US"/>
        </w:rPr>
        <w:t>Julie Jenkins,</w:t>
      </w:r>
      <w:r w:rsidR="009E318A" w:rsidRPr="00A600A1">
        <w:rPr>
          <w:rFonts w:ascii="Arial" w:hAnsi="Arial" w:cs="Arial"/>
          <w:lang w:eastAsia="en-US"/>
        </w:rPr>
        <w:t xml:space="preserve"> Adam Marques</w:t>
      </w:r>
      <w:r w:rsidR="00867D99" w:rsidRPr="00A600A1">
        <w:rPr>
          <w:rFonts w:ascii="Arial" w:hAnsi="Arial" w:cs="Arial"/>
          <w:lang w:eastAsia="en-US"/>
        </w:rPr>
        <w:t xml:space="preserve">, Braden Freer, </w:t>
      </w:r>
      <w:r w:rsidR="00FD5D51" w:rsidRPr="00A600A1">
        <w:rPr>
          <w:rFonts w:ascii="Arial" w:hAnsi="Arial" w:cs="Arial"/>
          <w:lang w:eastAsia="en-US"/>
        </w:rPr>
        <w:t xml:space="preserve">Chris </w:t>
      </w:r>
      <w:proofErr w:type="spellStart"/>
      <w:r w:rsidR="00FD5D51" w:rsidRPr="00A600A1">
        <w:rPr>
          <w:rFonts w:ascii="Arial" w:hAnsi="Arial" w:cs="Arial"/>
          <w:lang w:eastAsia="en-US"/>
        </w:rPr>
        <w:t>Beyers</w:t>
      </w:r>
      <w:proofErr w:type="spellEnd"/>
      <w:r w:rsidR="00FD5D51" w:rsidRPr="00A600A1">
        <w:rPr>
          <w:rFonts w:ascii="Arial" w:hAnsi="Arial" w:cs="Arial"/>
          <w:lang w:eastAsia="en-US"/>
        </w:rPr>
        <w:t xml:space="preserve">, Adam Hopkins, Peter Galbraith, </w:t>
      </w:r>
      <w:proofErr w:type="spellStart"/>
      <w:r w:rsidR="00FD5D51" w:rsidRPr="00A600A1">
        <w:rPr>
          <w:rFonts w:ascii="Arial" w:hAnsi="Arial" w:cs="Arial"/>
        </w:rPr>
        <w:t>Vinciane</w:t>
      </w:r>
      <w:proofErr w:type="spellEnd"/>
      <w:r w:rsidR="00FD5D51" w:rsidRPr="00A600A1">
        <w:rPr>
          <w:rFonts w:ascii="Arial" w:hAnsi="Arial" w:cs="Arial"/>
        </w:rPr>
        <w:t xml:space="preserve"> </w:t>
      </w:r>
      <w:proofErr w:type="spellStart"/>
      <w:r w:rsidR="00FD5D51" w:rsidRPr="00A600A1">
        <w:rPr>
          <w:rFonts w:ascii="Arial" w:hAnsi="Arial" w:cs="Arial"/>
        </w:rPr>
        <w:t>Boudonnet</w:t>
      </w:r>
      <w:proofErr w:type="spellEnd"/>
      <w:r w:rsidR="00FD5D51" w:rsidRPr="00A600A1">
        <w:rPr>
          <w:rFonts w:ascii="Arial" w:hAnsi="Arial" w:cs="Arial"/>
        </w:rPr>
        <w:t xml:space="preserve">, Danielle Grant, Karen </w:t>
      </w:r>
      <w:proofErr w:type="spellStart"/>
      <w:r w:rsidR="00FD5D51" w:rsidRPr="00A600A1">
        <w:rPr>
          <w:rFonts w:ascii="Arial" w:hAnsi="Arial" w:cs="Arial"/>
        </w:rPr>
        <w:t>Derian</w:t>
      </w:r>
      <w:proofErr w:type="spellEnd"/>
      <w:r w:rsidR="00FD5D51" w:rsidRPr="00A600A1">
        <w:rPr>
          <w:rFonts w:ascii="Arial" w:hAnsi="Arial" w:cs="Arial"/>
        </w:rPr>
        <w:t>, Nona Robinson</w:t>
      </w:r>
      <w:r w:rsidRPr="00A600A1">
        <w:rPr>
          <w:rFonts w:ascii="Arial" w:hAnsi="Arial" w:cs="Arial"/>
        </w:rPr>
        <w:t>, Tara Harrington, Carolyn Kay</w:t>
      </w:r>
    </w:p>
    <w:p w14:paraId="08975C2C" w14:textId="31B7C33A" w:rsidR="00CA2C0C" w:rsidRPr="00A600A1" w:rsidRDefault="00CA2C0C" w:rsidP="00FD5D51">
      <w:pPr>
        <w:pStyle w:val="ListParagraph"/>
        <w:ind w:left="0"/>
        <w:rPr>
          <w:rFonts w:ascii="Arial" w:hAnsi="Arial" w:cs="Arial"/>
        </w:rPr>
      </w:pPr>
      <w:r w:rsidRPr="00A600A1">
        <w:rPr>
          <w:rFonts w:ascii="Arial" w:hAnsi="Arial" w:cs="Arial"/>
          <w:b/>
        </w:rPr>
        <w:t>Staff:</w:t>
      </w:r>
      <w:r w:rsidRPr="00A600A1">
        <w:rPr>
          <w:rFonts w:ascii="Arial" w:hAnsi="Arial" w:cs="Arial"/>
        </w:rPr>
        <w:t xml:space="preserve"> Julia Anderson, Andrea Walsh, Robyne Hanley </w:t>
      </w:r>
    </w:p>
    <w:p w14:paraId="0705F985" w14:textId="77777777" w:rsidR="009E318A" w:rsidRPr="00A600A1" w:rsidRDefault="009E318A" w:rsidP="00C60A2B">
      <w:pPr>
        <w:spacing w:after="200"/>
        <w:rPr>
          <w:rFonts w:ascii="Arial" w:hAnsi="Arial" w:cs="Arial"/>
          <w:lang w:eastAsia="en-US"/>
        </w:rPr>
      </w:pPr>
      <w:r w:rsidRPr="00A600A1">
        <w:rPr>
          <w:rFonts w:ascii="Arial" w:hAnsi="Arial" w:cs="Arial"/>
          <w:b/>
          <w:lang w:eastAsia="en-US"/>
        </w:rPr>
        <w:t>Regrets</w:t>
      </w:r>
      <w:r w:rsidRPr="00A600A1">
        <w:rPr>
          <w:rFonts w:ascii="Arial" w:hAnsi="Arial" w:cs="Arial"/>
          <w:u w:val="single"/>
          <w:lang w:eastAsia="en-US"/>
        </w:rPr>
        <w:t>:</w:t>
      </w:r>
      <w:r w:rsidR="00FD5D51" w:rsidRPr="00A600A1">
        <w:rPr>
          <w:rFonts w:ascii="Arial" w:hAnsi="Arial" w:cs="Arial"/>
          <w:lang w:eastAsia="en-US"/>
        </w:rPr>
        <w:t xml:space="preserve"> Stewart Engelberg, </w:t>
      </w:r>
      <w:proofErr w:type="spellStart"/>
      <w:r w:rsidR="00FD5D51" w:rsidRPr="00A600A1">
        <w:rPr>
          <w:rFonts w:ascii="Arial" w:hAnsi="Arial" w:cs="Arial"/>
          <w:lang w:eastAsia="en-US"/>
        </w:rPr>
        <w:t>Emerance</w:t>
      </w:r>
      <w:proofErr w:type="spellEnd"/>
      <w:r w:rsidR="00FD5D51" w:rsidRPr="00A600A1">
        <w:rPr>
          <w:rFonts w:ascii="Arial" w:hAnsi="Arial" w:cs="Arial"/>
          <w:lang w:eastAsia="en-US"/>
        </w:rPr>
        <w:t xml:space="preserve"> Baker. </w:t>
      </w:r>
    </w:p>
    <w:p w14:paraId="41B88897" w14:textId="39BB52BE" w:rsidR="00CB5015" w:rsidRPr="00CB5015" w:rsidRDefault="009E318A" w:rsidP="00CB5015">
      <w:pPr>
        <w:pStyle w:val="ListParagraph"/>
        <w:numPr>
          <w:ilvl w:val="0"/>
          <w:numId w:val="25"/>
        </w:numPr>
        <w:spacing w:after="200"/>
        <w:rPr>
          <w:rFonts w:ascii="Arial" w:hAnsi="Arial"/>
          <w:b/>
          <w:u w:val="single"/>
          <w:lang w:eastAsia="en-US"/>
        </w:rPr>
      </w:pPr>
      <w:r w:rsidRPr="00CB5015">
        <w:rPr>
          <w:rFonts w:ascii="Arial" w:hAnsi="Arial"/>
          <w:b/>
          <w:lang w:eastAsia="en-US"/>
        </w:rPr>
        <w:t>Chair’s Remarks</w:t>
      </w:r>
      <w:r w:rsidR="00336E36" w:rsidRPr="00CB5015">
        <w:rPr>
          <w:rFonts w:ascii="Arial" w:hAnsi="Arial"/>
          <w:b/>
          <w:lang w:eastAsia="en-US"/>
        </w:rPr>
        <w:t xml:space="preserve"> (Michael Allcott)</w:t>
      </w:r>
      <w:r w:rsidR="00CB5015">
        <w:rPr>
          <w:rFonts w:ascii="Arial" w:hAnsi="Arial"/>
          <w:b/>
          <w:lang w:eastAsia="en-US"/>
        </w:rPr>
        <w:t>:</w:t>
      </w:r>
    </w:p>
    <w:p w14:paraId="7964A878" w14:textId="68C3FC72" w:rsidR="009E318A" w:rsidRPr="00CB5015" w:rsidRDefault="00CB5015" w:rsidP="00CB5015">
      <w:pPr>
        <w:autoSpaceDE w:val="0"/>
        <w:autoSpaceDN w:val="0"/>
        <w:adjustRightInd w:val="0"/>
        <w:ind w:left="360"/>
        <w:rPr>
          <w:rFonts w:ascii="Arial" w:hAnsi="Arial" w:cs="Arial"/>
          <w:u w:val="single"/>
          <w:lang w:eastAsia="en-US"/>
        </w:rPr>
      </w:pPr>
      <w:r w:rsidRPr="00CB5015">
        <w:rPr>
          <w:rFonts w:ascii="Arial" w:hAnsi="Arial" w:cs="Arial"/>
          <w:b/>
          <w:lang w:eastAsia="en-US"/>
        </w:rPr>
        <w:t xml:space="preserve"> </w:t>
      </w:r>
      <w:r w:rsidR="00FD5D51" w:rsidRPr="00CB5015">
        <w:rPr>
          <w:rFonts w:ascii="Arial" w:hAnsi="Arial" w:cs="Arial"/>
          <w:b/>
          <w:lang w:eastAsia="en-US"/>
        </w:rPr>
        <w:t>Welcome:</w:t>
      </w:r>
      <w:r w:rsidR="00FD5D51" w:rsidRPr="00CB5015">
        <w:rPr>
          <w:rFonts w:ascii="Arial" w:hAnsi="Arial" w:cs="Arial"/>
          <w:lang w:eastAsia="en-US"/>
        </w:rPr>
        <w:t xml:space="preserve"> PACHREA has been on hiatus due to absence of OHREA director. D</w:t>
      </w:r>
      <w:r w:rsidR="00605AB8" w:rsidRPr="00CB5015">
        <w:rPr>
          <w:rFonts w:ascii="Arial" w:hAnsi="Arial" w:cs="Arial"/>
          <w:lang w:eastAsia="en-US"/>
        </w:rPr>
        <w:t xml:space="preserve">espite the fact that there </w:t>
      </w:r>
      <w:proofErr w:type="gramStart"/>
      <w:r w:rsidR="00605AB8" w:rsidRPr="00CB5015">
        <w:rPr>
          <w:rFonts w:ascii="Arial" w:hAnsi="Arial" w:cs="Arial"/>
          <w:lang w:eastAsia="en-US"/>
        </w:rPr>
        <w:t>was</w:t>
      </w:r>
      <w:proofErr w:type="gramEnd"/>
      <w:r w:rsidR="00605AB8" w:rsidRPr="00CB5015">
        <w:rPr>
          <w:rFonts w:ascii="Arial" w:hAnsi="Arial" w:cs="Arial"/>
          <w:lang w:eastAsia="en-US"/>
        </w:rPr>
        <w:t xml:space="preserve"> </w:t>
      </w:r>
      <w:r w:rsidR="00FD5D51" w:rsidRPr="00CB5015">
        <w:rPr>
          <w:rFonts w:ascii="Arial" w:hAnsi="Arial" w:cs="Arial"/>
          <w:lang w:eastAsia="en-US"/>
        </w:rPr>
        <w:t xml:space="preserve">only </w:t>
      </w:r>
      <w:r w:rsidR="00E10337" w:rsidRPr="00CB5015">
        <w:rPr>
          <w:rFonts w:ascii="Arial" w:hAnsi="Arial" w:cs="Arial"/>
          <w:lang w:eastAsia="en-US"/>
        </w:rPr>
        <w:t xml:space="preserve">a </w:t>
      </w:r>
      <w:r w:rsidR="00E9159D" w:rsidRPr="00CB5015">
        <w:rPr>
          <w:rFonts w:ascii="Arial" w:hAnsi="Arial" w:cs="Arial"/>
          <w:lang w:eastAsia="en-US"/>
        </w:rPr>
        <w:t xml:space="preserve">few </w:t>
      </w:r>
      <w:r w:rsidR="00E10337" w:rsidRPr="00CB5015">
        <w:rPr>
          <w:rFonts w:ascii="Arial" w:hAnsi="Arial" w:cs="Arial"/>
          <w:lang w:eastAsia="en-US"/>
        </w:rPr>
        <w:t xml:space="preserve">remaining </w:t>
      </w:r>
      <w:r w:rsidR="00E9159D" w:rsidRPr="00CB5015">
        <w:rPr>
          <w:rFonts w:ascii="Arial" w:hAnsi="Arial" w:cs="Arial"/>
          <w:lang w:eastAsia="en-US"/>
        </w:rPr>
        <w:t>meetings for the 2013-14 academic</w:t>
      </w:r>
      <w:r w:rsidR="00605AB8" w:rsidRPr="00CB5015">
        <w:rPr>
          <w:rFonts w:ascii="Arial" w:hAnsi="Arial" w:cs="Arial"/>
          <w:lang w:eastAsia="en-US"/>
        </w:rPr>
        <w:t xml:space="preserve"> year, it was </w:t>
      </w:r>
      <w:r w:rsidR="00FD5D51" w:rsidRPr="00CB5015">
        <w:rPr>
          <w:rFonts w:ascii="Arial" w:hAnsi="Arial" w:cs="Arial"/>
          <w:lang w:eastAsia="en-US"/>
        </w:rPr>
        <w:t>the Chair</w:t>
      </w:r>
      <w:r w:rsidR="00605AB8" w:rsidRPr="00CB5015">
        <w:rPr>
          <w:rFonts w:ascii="Arial" w:hAnsi="Arial" w:cs="Arial"/>
          <w:lang w:eastAsia="en-US"/>
        </w:rPr>
        <w:t>’s hope that these meetings would</w:t>
      </w:r>
      <w:r w:rsidR="00FD5D51" w:rsidRPr="00CB5015">
        <w:rPr>
          <w:rFonts w:ascii="Arial" w:hAnsi="Arial" w:cs="Arial"/>
          <w:lang w:eastAsia="en-US"/>
        </w:rPr>
        <w:t xml:space="preserve"> allow a chance for </w:t>
      </w:r>
      <w:r w:rsidR="00EB1F18" w:rsidRPr="00CB5015">
        <w:rPr>
          <w:rFonts w:ascii="Arial" w:hAnsi="Arial" w:cs="Arial"/>
          <w:lang w:eastAsia="en-US"/>
        </w:rPr>
        <w:t xml:space="preserve">the </w:t>
      </w:r>
      <w:r w:rsidR="00FD5D51" w:rsidRPr="00CB5015">
        <w:rPr>
          <w:rFonts w:ascii="Arial" w:hAnsi="Arial" w:cs="Arial"/>
          <w:lang w:eastAsia="en-US"/>
        </w:rPr>
        <w:t>committ</w:t>
      </w:r>
      <w:r w:rsidR="00605AB8" w:rsidRPr="00CB5015">
        <w:rPr>
          <w:rFonts w:ascii="Arial" w:hAnsi="Arial" w:cs="Arial"/>
          <w:lang w:eastAsia="en-US"/>
        </w:rPr>
        <w:t xml:space="preserve">ee and its members to gather </w:t>
      </w:r>
      <w:r w:rsidR="00FD5D51" w:rsidRPr="00CB5015">
        <w:rPr>
          <w:rFonts w:ascii="Arial" w:hAnsi="Arial" w:cs="Arial"/>
          <w:lang w:eastAsia="en-US"/>
        </w:rPr>
        <w:t xml:space="preserve">their thinking and reflect on </w:t>
      </w:r>
      <w:r w:rsidR="00605AB8" w:rsidRPr="00CB5015">
        <w:rPr>
          <w:rFonts w:ascii="Arial" w:hAnsi="Arial" w:cs="Arial"/>
          <w:lang w:eastAsia="en-US"/>
        </w:rPr>
        <w:t xml:space="preserve">their </w:t>
      </w:r>
      <w:r w:rsidR="00FD5D51" w:rsidRPr="00CB5015">
        <w:rPr>
          <w:rFonts w:ascii="Arial" w:hAnsi="Arial" w:cs="Arial"/>
          <w:lang w:eastAsia="en-US"/>
        </w:rPr>
        <w:t xml:space="preserve">work. </w:t>
      </w:r>
    </w:p>
    <w:p w14:paraId="25A0073F" w14:textId="77777777" w:rsidR="00EB1F18" w:rsidRPr="00CA2C0C" w:rsidRDefault="00EB1F18" w:rsidP="00EB1F18">
      <w:pPr>
        <w:spacing w:after="200"/>
        <w:ind w:left="360"/>
        <w:contextualSpacing/>
        <w:rPr>
          <w:lang w:eastAsia="en-US"/>
        </w:rPr>
      </w:pPr>
    </w:p>
    <w:p w14:paraId="0742B4E9" w14:textId="22285076" w:rsidR="00EB1F18" w:rsidRPr="00A600A1" w:rsidRDefault="00EB1F18" w:rsidP="00A600A1">
      <w:pPr>
        <w:spacing w:after="200"/>
        <w:ind w:left="360"/>
        <w:contextualSpacing/>
        <w:rPr>
          <w:rFonts w:ascii="Arial" w:hAnsi="Arial" w:cs="Arial"/>
          <w:lang w:eastAsia="en-US"/>
        </w:rPr>
      </w:pPr>
      <w:r w:rsidRPr="00A600A1">
        <w:rPr>
          <w:rFonts w:ascii="Arial" w:hAnsi="Arial" w:cs="Arial"/>
          <w:b/>
          <w:lang w:eastAsia="en-US"/>
        </w:rPr>
        <w:t>History of PACHREA</w:t>
      </w:r>
      <w:r w:rsidRPr="00A600A1">
        <w:rPr>
          <w:rFonts w:ascii="Arial" w:hAnsi="Arial" w:cs="Arial"/>
          <w:lang w:eastAsia="en-US"/>
        </w:rPr>
        <w:t xml:space="preserve">: Many years ago there was a part-time human rights advisor for the university; </w:t>
      </w:r>
      <w:proofErr w:type="gramStart"/>
      <w:r w:rsidRPr="00A600A1">
        <w:rPr>
          <w:rFonts w:ascii="Arial" w:hAnsi="Arial" w:cs="Arial"/>
          <w:lang w:eastAsia="en-US"/>
        </w:rPr>
        <w:t>however</w:t>
      </w:r>
      <w:proofErr w:type="gramEnd"/>
      <w:r w:rsidRPr="00A600A1">
        <w:rPr>
          <w:rFonts w:ascii="Arial" w:hAnsi="Arial" w:cs="Arial"/>
          <w:lang w:eastAsia="en-US"/>
        </w:rPr>
        <w:t xml:space="preserve"> there was developing realization that there was need for more of a presence in this type of role beyond urgent situations that were being covered. When a full-time director was in this role, this individual worked to define the role of the office. This committee, un</w:t>
      </w:r>
      <w:r w:rsidR="00605AB8" w:rsidRPr="00A600A1">
        <w:rPr>
          <w:rFonts w:ascii="Arial" w:hAnsi="Arial" w:cs="Arial"/>
          <w:lang w:eastAsia="en-US"/>
        </w:rPr>
        <w:t>der its former name, slowly</w:t>
      </w:r>
      <w:r w:rsidRPr="00A600A1">
        <w:rPr>
          <w:rFonts w:ascii="Arial" w:hAnsi="Arial" w:cs="Arial"/>
          <w:lang w:eastAsia="en-US"/>
        </w:rPr>
        <w:t xml:space="preserve"> expanded ov</w:t>
      </w:r>
      <w:r w:rsidR="00605AB8" w:rsidRPr="00A600A1">
        <w:rPr>
          <w:rFonts w:ascii="Arial" w:hAnsi="Arial" w:cs="Arial"/>
          <w:lang w:eastAsia="en-US"/>
        </w:rPr>
        <w:t xml:space="preserve">er time to include, for example, </w:t>
      </w:r>
      <w:r w:rsidRPr="00A600A1">
        <w:rPr>
          <w:rFonts w:ascii="Arial" w:hAnsi="Arial" w:cs="Arial"/>
          <w:lang w:eastAsia="en-US"/>
        </w:rPr>
        <w:t xml:space="preserve">TIP and FPHL members. Three years ago the </w:t>
      </w:r>
      <w:r w:rsidR="00E10337" w:rsidRPr="00A600A1">
        <w:rPr>
          <w:rFonts w:ascii="Arial" w:hAnsi="Arial" w:cs="Arial"/>
          <w:lang w:eastAsia="en-US"/>
        </w:rPr>
        <w:t xml:space="preserve">OHREA </w:t>
      </w:r>
      <w:r w:rsidRPr="00A600A1">
        <w:rPr>
          <w:rFonts w:ascii="Arial" w:hAnsi="Arial" w:cs="Arial"/>
          <w:lang w:eastAsia="en-US"/>
        </w:rPr>
        <w:t xml:space="preserve">office became what it is currently known as due to the inclusion of accessibility as part of the office portfolio. </w:t>
      </w:r>
      <w:r w:rsidR="00CB2A21" w:rsidRPr="00A600A1">
        <w:rPr>
          <w:rFonts w:ascii="Arial" w:hAnsi="Arial" w:cs="Arial"/>
          <w:lang w:eastAsia="en-US"/>
        </w:rPr>
        <w:t>Equity, under the Federal Contractor’s Program, was also part of the office mandate</w:t>
      </w:r>
      <w:r w:rsidR="00605AB8" w:rsidRPr="00A600A1">
        <w:rPr>
          <w:rFonts w:ascii="Arial" w:hAnsi="Arial" w:cs="Arial"/>
          <w:lang w:eastAsia="en-US"/>
        </w:rPr>
        <w:t>. However, Trent still had an out-d</w:t>
      </w:r>
      <w:r w:rsidR="00CB2A21" w:rsidRPr="00A600A1">
        <w:rPr>
          <w:rFonts w:ascii="Arial" w:hAnsi="Arial" w:cs="Arial"/>
          <w:lang w:eastAsia="en-US"/>
        </w:rPr>
        <w:t xml:space="preserve">ated human rights policy (from 1995) and there were many years of consultation to update </w:t>
      </w:r>
      <w:r w:rsidR="00E10337" w:rsidRPr="00A600A1">
        <w:rPr>
          <w:rFonts w:ascii="Arial" w:hAnsi="Arial" w:cs="Arial"/>
          <w:lang w:eastAsia="en-US"/>
        </w:rPr>
        <w:t xml:space="preserve">the </w:t>
      </w:r>
      <w:r w:rsidR="00CB2A21" w:rsidRPr="00A600A1">
        <w:rPr>
          <w:rFonts w:ascii="Arial" w:hAnsi="Arial" w:cs="Arial"/>
          <w:lang w:eastAsia="en-US"/>
        </w:rPr>
        <w:t xml:space="preserve">policy, in part due to the fact that </w:t>
      </w:r>
      <w:r w:rsidR="00605AB8" w:rsidRPr="00A600A1">
        <w:rPr>
          <w:rFonts w:ascii="Arial" w:hAnsi="Arial" w:cs="Arial"/>
          <w:lang w:eastAsia="en-US"/>
        </w:rPr>
        <w:t xml:space="preserve">the </w:t>
      </w:r>
      <w:r w:rsidR="00CB2A21" w:rsidRPr="00A600A1">
        <w:rPr>
          <w:rFonts w:ascii="Arial" w:hAnsi="Arial" w:cs="Arial"/>
          <w:lang w:eastAsia="en-US"/>
        </w:rPr>
        <w:t>policy is tied to a unionized collective agreement</w:t>
      </w:r>
      <w:r w:rsidR="00605AB8" w:rsidRPr="00A600A1">
        <w:rPr>
          <w:rFonts w:ascii="Arial" w:hAnsi="Arial" w:cs="Arial"/>
          <w:lang w:eastAsia="en-US"/>
        </w:rPr>
        <w:t>. A new policy is now in place.</w:t>
      </w:r>
    </w:p>
    <w:p w14:paraId="25230AE4" w14:textId="77777777" w:rsidR="00CB2A21" w:rsidRPr="00CA2C0C" w:rsidRDefault="00CB2A21" w:rsidP="00EB1F18">
      <w:pPr>
        <w:spacing w:after="200"/>
        <w:ind w:left="360"/>
        <w:contextualSpacing/>
        <w:rPr>
          <w:lang w:eastAsia="en-US"/>
        </w:rPr>
      </w:pPr>
    </w:p>
    <w:p w14:paraId="4C6581CD" w14:textId="7FA37111" w:rsidR="00CB2A21" w:rsidRPr="00A600A1" w:rsidRDefault="00CB2A21" w:rsidP="00A600A1">
      <w:pPr>
        <w:spacing w:after="200"/>
        <w:ind w:left="360"/>
        <w:contextualSpacing/>
        <w:rPr>
          <w:rFonts w:ascii="Arial" w:hAnsi="Arial" w:cs="Arial"/>
          <w:u w:val="single"/>
          <w:lang w:eastAsia="en-US"/>
        </w:rPr>
      </w:pPr>
      <w:r w:rsidRPr="00A600A1">
        <w:rPr>
          <w:rFonts w:ascii="Arial" w:hAnsi="Arial" w:cs="Arial"/>
          <w:b/>
          <w:lang w:eastAsia="en-US"/>
        </w:rPr>
        <w:t>Introduction of New Director</w:t>
      </w:r>
      <w:r w:rsidRPr="00A600A1">
        <w:rPr>
          <w:rFonts w:ascii="Arial" w:hAnsi="Arial" w:cs="Arial"/>
          <w:lang w:eastAsia="en-US"/>
        </w:rPr>
        <w:t xml:space="preserve">: The hire of Julia Anderson as OHREA director was in some ways thinking of the director’s role “outside of the box”. </w:t>
      </w:r>
      <w:r w:rsidR="00947274" w:rsidRPr="00A600A1">
        <w:rPr>
          <w:rFonts w:ascii="Arial" w:hAnsi="Arial" w:cs="Arial"/>
          <w:lang w:eastAsia="en-US"/>
        </w:rPr>
        <w:t xml:space="preserve">The </w:t>
      </w:r>
      <w:r w:rsidRPr="00A600A1">
        <w:rPr>
          <w:rFonts w:ascii="Arial" w:hAnsi="Arial" w:cs="Arial"/>
          <w:lang w:eastAsia="en-US"/>
        </w:rPr>
        <w:t xml:space="preserve">Chair noted that this position requires a hybrid of skills including knowledge of policy and teaching. Julia has </w:t>
      </w:r>
      <w:r w:rsidRPr="00A600A1">
        <w:rPr>
          <w:rFonts w:ascii="Arial" w:hAnsi="Arial" w:cs="Arial"/>
          <w:lang w:eastAsia="en-US"/>
        </w:rPr>
        <w:lastRenderedPageBreak/>
        <w:t>experience w</w:t>
      </w:r>
      <w:r w:rsidR="00605AB8" w:rsidRPr="00A600A1">
        <w:rPr>
          <w:rFonts w:ascii="Arial" w:hAnsi="Arial" w:cs="Arial"/>
          <w:lang w:eastAsia="en-US"/>
        </w:rPr>
        <w:t>ith not-for-profit organization</w:t>
      </w:r>
      <w:r w:rsidR="00E10337" w:rsidRPr="00A600A1">
        <w:rPr>
          <w:rFonts w:ascii="Arial" w:hAnsi="Arial" w:cs="Arial"/>
          <w:lang w:eastAsia="en-US"/>
        </w:rPr>
        <w:t>s</w:t>
      </w:r>
      <w:r w:rsidR="00605AB8" w:rsidRPr="00A600A1">
        <w:rPr>
          <w:rFonts w:ascii="Arial" w:hAnsi="Arial" w:cs="Arial"/>
          <w:lang w:eastAsia="en-US"/>
        </w:rPr>
        <w:t xml:space="preserve">, </w:t>
      </w:r>
      <w:r w:rsidRPr="00A600A1">
        <w:rPr>
          <w:rFonts w:ascii="Arial" w:hAnsi="Arial" w:cs="Arial"/>
          <w:lang w:eastAsia="en-US"/>
        </w:rPr>
        <w:t xml:space="preserve">which </w:t>
      </w:r>
      <w:r w:rsidR="00947274" w:rsidRPr="00A600A1">
        <w:rPr>
          <w:rFonts w:ascii="Arial" w:hAnsi="Arial" w:cs="Arial"/>
          <w:lang w:eastAsia="en-US"/>
        </w:rPr>
        <w:t>was</w:t>
      </w:r>
      <w:r w:rsidRPr="00A600A1">
        <w:rPr>
          <w:rFonts w:ascii="Arial" w:hAnsi="Arial" w:cs="Arial"/>
          <w:lang w:eastAsia="en-US"/>
        </w:rPr>
        <w:t xml:space="preserve"> also se</w:t>
      </w:r>
      <w:r w:rsidR="00947274" w:rsidRPr="00A600A1">
        <w:rPr>
          <w:rFonts w:ascii="Arial" w:hAnsi="Arial" w:cs="Arial"/>
          <w:lang w:eastAsia="en-US"/>
        </w:rPr>
        <w:t>en as bringing a positive skill-</w:t>
      </w:r>
      <w:r w:rsidRPr="00A600A1">
        <w:rPr>
          <w:rFonts w:ascii="Arial" w:hAnsi="Arial" w:cs="Arial"/>
          <w:lang w:eastAsia="en-US"/>
        </w:rPr>
        <w:t xml:space="preserve">set to this position. </w:t>
      </w:r>
    </w:p>
    <w:p w14:paraId="6D317F6B" w14:textId="77777777" w:rsidR="00FD5D51" w:rsidRPr="00CA2C0C" w:rsidRDefault="00FD5D51" w:rsidP="00FD5D51">
      <w:pPr>
        <w:spacing w:after="200"/>
        <w:contextualSpacing/>
        <w:rPr>
          <w:u w:val="single"/>
          <w:lang w:eastAsia="en-US"/>
        </w:rPr>
      </w:pPr>
    </w:p>
    <w:p w14:paraId="61BFE70D" w14:textId="278B60D0" w:rsidR="00CA2C0C" w:rsidRPr="00CB5015" w:rsidRDefault="009E318A" w:rsidP="00CB5015">
      <w:pPr>
        <w:pStyle w:val="ListParagraph"/>
        <w:numPr>
          <w:ilvl w:val="0"/>
          <w:numId w:val="25"/>
        </w:numPr>
        <w:spacing w:after="200"/>
        <w:contextualSpacing/>
        <w:rPr>
          <w:rFonts w:ascii="Arial" w:hAnsi="Arial" w:cs="Arial"/>
          <w:b/>
          <w:lang w:eastAsia="en-US"/>
        </w:rPr>
      </w:pPr>
      <w:r w:rsidRPr="00CB5015">
        <w:rPr>
          <w:rFonts w:ascii="Arial" w:hAnsi="Arial" w:cs="Arial"/>
          <w:b/>
          <w:lang w:eastAsia="en-US"/>
        </w:rPr>
        <w:t>Minutes</w:t>
      </w:r>
      <w:r w:rsidR="00CA2C0C" w:rsidRPr="00CB5015">
        <w:rPr>
          <w:rFonts w:ascii="Arial" w:hAnsi="Arial" w:cs="Arial"/>
          <w:b/>
          <w:lang w:eastAsia="en-US"/>
        </w:rPr>
        <w:t xml:space="preserve"> April 2013</w:t>
      </w:r>
      <w:r w:rsidR="00A600A1" w:rsidRPr="00CB5015">
        <w:rPr>
          <w:rFonts w:ascii="Arial" w:hAnsi="Arial" w:cs="Arial"/>
          <w:b/>
          <w:lang w:eastAsia="en-US"/>
        </w:rPr>
        <w:t>:</w:t>
      </w:r>
    </w:p>
    <w:p w14:paraId="6E96FEE1" w14:textId="77777777" w:rsidR="00CB5015" w:rsidRDefault="00CB5015" w:rsidP="00CA2C0C">
      <w:pPr>
        <w:pStyle w:val="ListParagraph"/>
        <w:spacing w:after="200"/>
        <w:ind w:left="360"/>
        <w:contextualSpacing/>
        <w:rPr>
          <w:lang w:eastAsia="en-US"/>
        </w:rPr>
      </w:pPr>
    </w:p>
    <w:p w14:paraId="1EF225EE" w14:textId="70F7D443" w:rsidR="009E318A" w:rsidRDefault="00CA2C0C" w:rsidP="00CA2C0C">
      <w:pPr>
        <w:pStyle w:val="ListParagraph"/>
        <w:spacing w:after="200"/>
        <w:ind w:left="360"/>
        <w:contextualSpacing/>
        <w:rPr>
          <w:lang w:eastAsia="en-US"/>
        </w:rPr>
      </w:pPr>
      <w:r>
        <w:rPr>
          <w:lang w:eastAsia="en-US"/>
        </w:rPr>
        <w:t xml:space="preserve">Motion to Approve: </w:t>
      </w:r>
      <w:r w:rsidR="00947274" w:rsidRPr="00CA2C0C">
        <w:rPr>
          <w:lang w:eastAsia="en-US"/>
        </w:rPr>
        <w:t xml:space="preserve">Adam Marques </w:t>
      </w:r>
      <w:r>
        <w:rPr>
          <w:lang w:eastAsia="en-US"/>
        </w:rPr>
        <w:br/>
        <w:t xml:space="preserve">Seconded: </w:t>
      </w:r>
      <w:r w:rsidR="00947274" w:rsidRPr="00CA2C0C">
        <w:rPr>
          <w:lang w:eastAsia="en-US"/>
        </w:rPr>
        <w:t xml:space="preserve">Nona Robinson. </w:t>
      </w:r>
    </w:p>
    <w:p w14:paraId="6F26767E" w14:textId="258CB560" w:rsidR="00CA2C0C" w:rsidRPr="00CA2C0C" w:rsidRDefault="00CA2C0C" w:rsidP="00CA2C0C">
      <w:pPr>
        <w:pStyle w:val="ListParagraph"/>
        <w:spacing w:after="200"/>
        <w:ind w:left="360"/>
        <w:contextualSpacing/>
        <w:rPr>
          <w:lang w:eastAsia="en-US"/>
        </w:rPr>
      </w:pPr>
      <w:r>
        <w:rPr>
          <w:lang w:eastAsia="en-US"/>
        </w:rPr>
        <w:t xml:space="preserve">Unanimously carried </w:t>
      </w:r>
    </w:p>
    <w:p w14:paraId="4AA5F141" w14:textId="77777777" w:rsidR="009E318A" w:rsidRPr="00CA2C0C" w:rsidRDefault="009E318A" w:rsidP="00C24260">
      <w:pPr>
        <w:spacing w:after="200"/>
        <w:contextualSpacing/>
        <w:rPr>
          <w:u w:val="single"/>
          <w:lang w:eastAsia="en-US"/>
        </w:rPr>
      </w:pPr>
    </w:p>
    <w:p w14:paraId="0C7F0C70" w14:textId="77777777" w:rsidR="00CB5015" w:rsidRPr="00CB5015" w:rsidRDefault="009E318A" w:rsidP="00CB5015">
      <w:pPr>
        <w:pStyle w:val="ListParagraph"/>
        <w:numPr>
          <w:ilvl w:val="0"/>
          <w:numId w:val="25"/>
        </w:numPr>
        <w:spacing w:after="200"/>
        <w:contextualSpacing/>
        <w:rPr>
          <w:rFonts w:ascii="Arial" w:hAnsi="Arial" w:cs="Arial"/>
          <w:lang w:eastAsia="en-US"/>
        </w:rPr>
      </w:pPr>
      <w:r w:rsidRPr="00A600A1">
        <w:rPr>
          <w:rFonts w:ascii="Arial" w:hAnsi="Arial" w:cs="Arial"/>
          <w:b/>
          <w:lang w:eastAsia="en-US"/>
        </w:rPr>
        <w:t>Updates:</w:t>
      </w:r>
    </w:p>
    <w:p w14:paraId="6A8F03D9" w14:textId="77777777" w:rsidR="00CB5015" w:rsidRDefault="00CB5015" w:rsidP="00CB5015">
      <w:pPr>
        <w:pStyle w:val="ListParagraph"/>
        <w:spacing w:after="200"/>
        <w:ind w:left="360"/>
        <w:contextualSpacing/>
        <w:rPr>
          <w:u w:val="single"/>
          <w:lang w:eastAsia="en-US"/>
        </w:rPr>
      </w:pPr>
    </w:p>
    <w:p w14:paraId="79B61FA2" w14:textId="526F1EFE" w:rsidR="0078351F" w:rsidRPr="00A600A1" w:rsidRDefault="00CB5015" w:rsidP="00CB5015">
      <w:pPr>
        <w:pStyle w:val="ListParagraph"/>
        <w:spacing w:after="200"/>
        <w:ind w:left="360"/>
        <w:contextualSpacing/>
        <w:rPr>
          <w:rFonts w:ascii="Arial" w:hAnsi="Arial" w:cs="Arial"/>
          <w:lang w:eastAsia="en-US"/>
        </w:rPr>
      </w:pPr>
      <w:r w:rsidRPr="00A600A1">
        <w:rPr>
          <w:rFonts w:ascii="Arial" w:hAnsi="Arial" w:cs="Arial"/>
          <w:lang w:eastAsia="en-US"/>
        </w:rPr>
        <w:t xml:space="preserve"> </w:t>
      </w:r>
      <w:r w:rsidR="009E318A" w:rsidRPr="00A600A1">
        <w:rPr>
          <w:rFonts w:ascii="Arial" w:hAnsi="Arial" w:cs="Arial"/>
          <w:lang w:eastAsia="en-US"/>
        </w:rPr>
        <w:t>Accessibility</w:t>
      </w:r>
      <w:r w:rsidR="00947274" w:rsidRPr="00A600A1">
        <w:rPr>
          <w:rFonts w:ascii="Arial" w:hAnsi="Arial" w:cs="Arial"/>
          <w:lang w:eastAsia="en-US"/>
        </w:rPr>
        <w:t xml:space="preserve"> (Robyne Hanley)</w:t>
      </w:r>
      <w:r w:rsidR="009E318A" w:rsidRPr="00A600A1">
        <w:rPr>
          <w:rFonts w:ascii="Arial" w:hAnsi="Arial" w:cs="Arial"/>
          <w:lang w:eastAsia="en-US"/>
        </w:rPr>
        <w:t>.</w:t>
      </w:r>
      <w:r w:rsidRPr="00A600A1">
        <w:rPr>
          <w:rFonts w:ascii="Arial" w:hAnsi="Arial" w:cs="Arial"/>
          <w:lang w:eastAsia="en-US"/>
        </w:rPr>
        <w:t xml:space="preserve"> </w:t>
      </w:r>
    </w:p>
    <w:p w14:paraId="1D405A0C" w14:textId="77777777" w:rsidR="00CB5015" w:rsidRDefault="003B0EBB" w:rsidP="00867D99">
      <w:pPr>
        <w:spacing w:after="200"/>
        <w:ind w:left="540"/>
        <w:contextualSpacing/>
        <w:rPr>
          <w:rFonts w:ascii="Arial" w:hAnsi="Arial" w:cs="Arial"/>
          <w:lang w:eastAsia="en-US"/>
        </w:rPr>
      </w:pPr>
      <w:r w:rsidRPr="00A600A1">
        <w:rPr>
          <w:rFonts w:ascii="Arial" w:hAnsi="Arial" w:cs="Arial"/>
          <w:lang w:eastAsia="en-US"/>
        </w:rPr>
        <w:t xml:space="preserve">Robyne provided an update on accessibility through highlighting developments of the 2012-13 </w:t>
      </w:r>
      <w:r w:rsidR="000A4352" w:rsidRPr="00A600A1">
        <w:rPr>
          <w:rFonts w:ascii="Arial" w:hAnsi="Arial" w:cs="Arial"/>
          <w:lang w:eastAsia="en-US"/>
        </w:rPr>
        <w:t xml:space="preserve">AODA: </w:t>
      </w:r>
      <w:r w:rsidRPr="00A600A1">
        <w:rPr>
          <w:rFonts w:ascii="Arial" w:hAnsi="Arial" w:cs="Arial"/>
          <w:lang w:eastAsia="en-US"/>
        </w:rPr>
        <w:t>Multi-Year Plan</w:t>
      </w:r>
      <w:r w:rsidR="000A4352" w:rsidRPr="00A600A1">
        <w:rPr>
          <w:rFonts w:ascii="Arial" w:hAnsi="Arial" w:cs="Arial"/>
          <w:lang w:eastAsia="en-US"/>
        </w:rPr>
        <w:t xml:space="preserve"> Accessibility Plan</w:t>
      </w:r>
      <w:r w:rsidRPr="00A600A1">
        <w:rPr>
          <w:rFonts w:ascii="Arial" w:hAnsi="Arial" w:cs="Arial"/>
          <w:lang w:eastAsia="en-US"/>
        </w:rPr>
        <w:t>.</w:t>
      </w:r>
    </w:p>
    <w:p w14:paraId="32B894A4" w14:textId="404474C4" w:rsidR="00867D99" w:rsidRPr="00A600A1" w:rsidRDefault="00CB5015" w:rsidP="00867D99">
      <w:pPr>
        <w:spacing w:after="200"/>
        <w:ind w:left="540"/>
        <w:contextualSpacing/>
        <w:rPr>
          <w:rFonts w:ascii="Arial" w:hAnsi="Arial" w:cs="Arial"/>
          <w:lang w:eastAsia="en-US"/>
        </w:rPr>
      </w:pPr>
      <w:r w:rsidRPr="00A600A1">
        <w:rPr>
          <w:rFonts w:ascii="Arial" w:hAnsi="Arial" w:cs="Arial"/>
          <w:lang w:eastAsia="en-US"/>
        </w:rPr>
        <w:t xml:space="preserve"> </w:t>
      </w:r>
    </w:p>
    <w:p w14:paraId="6E2B34C9" w14:textId="121413A7" w:rsidR="00867D99" w:rsidRPr="00A600A1" w:rsidRDefault="00867D99" w:rsidP="00867D99">
      <w:pPr>
        <w:spacing w:after="200"/>
        <w:ind w:left="540"/>
        <w:contextualSpacing/>
        <w:rPr>
          <w:rFonts w:ascii="Arial" w:hAnsi="Arial" w:cs="Arial"/>
          <w:lang w:eastAsia="en-US"/>
        </w:rPr>
      </w:pPr>
      <w:r w:rsidRPr="00A600A1">
        <w:rPr>
          <w:rFonts w:ascii="Arial" w:hAnsi="Arial" w:cs="Arial"/>
          <w:lang w:eastAsia="en-US"/>
        </w:rPr>
        <w:t>Please see</w:t>
      </w:r>
      <w:r w:rsidR="000A4352" w:rsidRPr="00A600A1">
        <w:rPr>
          <w:rFonts w:ascii="Arial" w:hAnsi="Arial" w:cs="Arial"/>
          <w:lang w:eastAsia="en-US"/>
        </w:rPr>
        <w:t xml:space="preserve"> the AODA:</w:t>
      </w:r>
      <w:r w:rsidRPr="00A600A1">
        <w:rPr>
          <w:rFonts w:ascii="Arial" w:hAnsi="Arial" w:cs="Arial"/>
          <w:lang w:eastAsia="en-US"/>
        </w:rPr>
        <w:t xml:space="preserve"> Multi-Year Accessibility Plan for details. </w:t>
      </w:r>
    </w:p>
    <w:p w14:paraId="5E8F88C4" w14:textId="77777777" w:rsidR="00605AB8" w:rsidRPr="00A600A1" w:rsidRDefault="00605AB8" w:rsidP="0078351F">
      <w:pPr>
        <w:spacing w:after="200"/>
        <w:ind w:left="540"/>
        <w:contextualSpacing/>
        <w:rPr>
          <w:rFonts w:ascii="Arial" w:hAnsi="Arial" w:cs="Arial"/>
          <w:lang w:eastAsia="en-US"/>
        </w:rPr>
      </w:pPr>
    </w:p>
    <w:p w14:paraId="437EB19A" w14:textId="77777777" w:rsidR="009E318A" w:rsidRPr="00A600A1" w:rsidRDefault="000642C5" w:rsidP="0014423C">
      <w:pPr>
        <w:pStyle w:val="ListParagraph"/>
        <w:numPr>
          <w:ilvl w:val="0"/>
          <w:numId w:val="12"/>
        </w:numPr>
        <w:spacing w:after="200"/>
        <w:contextualSpacing/>
        <w:rPr>
          <w:rFonts w:ascii="Arial" w:hAnsi="Arial" w:cs="Arial"/>
          <w:lang w:eastAsia="en-US"/>
        </w:rPr>
      </w:pPr>
      <w:r w:rsidRPr="00A600A1">
        <w:rPr>
          <w:rFonts w:ascii="Arial" w:hAnsi="Arial" w:cs="Arial"/>
          <w:lang w:eastAsia="en-US"/>
        </w:rPr>
        <w:t xml:space="preserve">Equity (Karen </w:t>
      </w:r>
      <w:proofErr w:type="spellStart"/>
      <w:r w:rsidRPr="00A600A1">
        <w:rPr>
          <w:rFonts w:ascii="Arial" w:hAnsi="Arial" w:cs="Arial"/>
          <w:lang w:eastAsia="en-US"/>
        </w:rPr>
        <w:t>Derian</w:t>
      </w:r>
      <w:proofErr w:type="spellEnd"/>
      <w:r w:rsidRPr="00A600A1">
        <w:rPr>
          <w:rFonts w:ascii="Arial" w:hAnsi="Arial" w:cs="Arial"/>
          <w:lang w:eastAsia="en-US"/>
        </w:rPr>
        <w:t>)</w:t>
      </w:r>
      <w:r w:rsidR="009E318A" w:rsidRPr="00A600A1">
        <w:rPr>
          <w:rFonts w:ascii="Arial" w:hAnsi="Arial" w:cs="Arial"/>
          <w:lang w:eastAsia="en-US"/>
        </w:rPr>
        <w:t>.</w:t>
      </w:r>
    </w:p>
    <w:p w14:paraId="6E703816" w14:textId="61FC2B24" w:rsidR="0014423C" w:rsidRPr="00A600A1" w:rsidRDefault="0014423C" w:rsidP="0014423C">
      <w:pPr>
        <w:spacing w:after="200"/>
        <w:ind w:left="502"/>
        <w:contextualSpacing/>
        <w:rPr>
          <w:rFonts w:ascii="Arial" w:hAnsi="Arial" w:cs="Arial"/>
          <w:lang w:eastAsia="en-US"/>
        </w:rPr>
      </w:pPr>
      <w:r w:rsidRPr="00A600A1">
        <w:rPr>
          <w:rFonts w:ascii="Arial" w:hAnsi="Arial" w:cs="Arial"/>
          <w:lang w:eastAsia="en-US"/>
        </w:rPr>
        <w:t xml:space="preserve">Karen provided an historical overview as well as current status update on the Federal Contractor’s Program (FCP). She noted that groups directly mentioned in the legislation included women, Aboriginal </w:t>
      </w:r>
      <w:r w:rsidR="006B0173" w:rsidRPr="00A600A1">
        <w:rPr>
          <w:rFonts w:ascii="Arial" w:hAnsi="Arial" w:cs="Arial"/>
          <w:lang w:eastAsia="en-US"/>
        </w:rPr>
        <w:t>Persons, persons with disabilities</w:t>
      </w:r>
      <w:r w:rsidRPr="00A600A1">
        <w:rPr>
          <w:rFonts w:ascii="Arial" w:hAnsi="Arial" w:cs="Arial"/>
          <w:lang w:eastAsia="en-US"/>
        </w:rPr>
        <w:t xml:space="preserve"> and those of </w:t>
      </w:r>
      <w:r w:rsidR="00E9159D" w:rsidRPr="00A600A1">
        <w:rPr>
          <w:rFonts w:ascii="Arial" w:hAnsi="Arial" w:cs="Arial"/>
          <w:lang w:eastAsia="en-US"/>
        </w:rPr>
        <w:t>visible</w:t>
      </w:r>
      <w:r w:rsidRPr="00A600A1">
        <w:rPr>
          <w:rFonts w:ascii="Arial" w:hAnsi="Arial" w:cs="Arial"/>
          <w:lang w:eastAsia="en-US"/>
        </w:rPr>
        <w:t xml:space="preserve"> minorities. </w:t>
      </w:r>
    </w:p>
    <w:p w14:paraId="62248758" w14:textId="77777777" w:rsidR="0014423C" w:rsidRPr="00A600A1" w:rsidRDefault="0014423C" w:rsidP="0014423C">
      <w:pPr>
        <w:spacing w:after="200"/>
        <w:ind w:left="502"/>
        <w:contextualSpacing/>
        <w:rPr>
          <w:rFonts w:ascii="Arial" w:hAnsi="Arial" w:cs="Arial"/>
          <w:lang w:eastAsia="en-US"/>
        </w:rPr>
      </w:pPr>
    </w:p>
    <w:p w14:paraId="7529B64A" w14:textId="4D1ED311" w:rsidR="0014423C" w:rsidRPr="00A600A1" w:rsidRDefault="0014423C" w:rsidP="00CA2C0C">
      <w:pPr>
        <w:spacing w:after="200"/>
        <w:ind w:left="502"/>
        <w:contextualSpacing/>
        <w:rPr>
          <w:rFonts w:ascii="Arial" w:hAnsi="Arial" w:cs="Arial"/>
          <w:lang w:eastAsia="en-US"/>
        </w:rPr>
      </w:pPr>
      <w:r w:rsidRPr="00A600A1">
        <w:rPr>
          <w:rFonts w:ascii="Arial" w:hAnsi="Arial" w:cs="Arial"/>
          <w:lang w:eastAsia="en-US"/>
        </w:rPr>
        <w:t>In 2009 Trent University, Karen reported, underwent a compli</w:t>
      </w:r>
      <w:r w:rsidR="00CA2C0C" w:rsidRPr="00A600A1">
        <w:rPr>
          <w:rFonts w:ascii="Arial" w:hAnsi="Arial" w:cs="Arial"/>
          <w:lang w:eastAsia="en-US"/>
        </w:rPr>
        <w:t>ance review related to the FCP</w:t>
      </w:r>
      <w:r w:rsidRPr="00A600A1">
        <w:rPr>
          <w:rFonts w:ascii="Arial" w:hAnsi="Arial" w:cs="Arial"/>
          <w:lang w:eastAsia="en-US"/>
        </w:rPr>
        <w:t xml:space="preserve">. </w:t>
      </w:r>
    </w:p>
    <w:p w14:paraId="5C4334DC" w14:textId="77777777" w:rsidR="0014423C" w:rsidRPr="00A600A1" w:rsidRDefault="0014423C" w:rsidP="0014423C">
      <w:pPr>
        <w:spacing w:after="200"/>
        <w:ind w:left="502"/>
        <w:contextualSpacing/>
        <w:rPr>
          <w:rFonts w:ascii="Arial" w:hAnsi="Arial" w:cs="Arial"/>
          <w:lang w:eastAsia="en-US"/>
        </w:rPr>
      </w:pPr>
    </w:p>
    <w:p w14:paraId="194FBF0E" w14:textId="77777777" w:rsidR="0014423C" w:rsidRPr="00A600A1" w:rsidRDefault="0014423C" w:rsidP="0014423C">
      <w:pPr>
        <w:spacing w:after="200"/>
        <w:ind w:left="502"/>
        <w:contextualSpacing/>
        <w:rPr>
          <w:rFonts w:ascii="Arial" w:hAnsi="Arial" w:cs="Arial"/>
          <w:lang w:eastAsia="en-US"/>
        </w:rPr>
      </w:pPr>
      <w:r w:rsidRPr="00A600A1">
        <w:rPr>
          <w:rFonts w:ascii="Arial" w:hAnsi="Arial" w:cs="Arial"/>
          <w:lang w:eastAsia="en-US"/>
        </w:rPr>
        <w:t>Karen reported that the FCP has now been transferred to the Ministry of Labour and due to changes i</w:t>
      </w:r>
      <w:r w:rsidR="001F459C" w:rsidRPr="00A600A1">
        <w:rPr>
          <w:rFonts w:ascii="Arial" w:hAnsi="Arial" w:cs="Arial"/>
          <w:lang w:eastAsia="en-US"/>
        </w:rPr>
        <w:t xml:space="preserve">n program criteria Trent is no longer considered under this program. Karen stated that Human Resources is still collecting employment equity data, but beyond data collect everything else relating to equity has been transferred to OHREA. </w:t>
      </w:r>
    </w:p>
    <w:p w14:paraId="23613B7A" w14:textId="77777777" w:rsidR="001F459C" w:rsidRPr="00A600A1" w:rsidRDefault="001F459C" w:rsidP="0014423C">
      <w:pPr>
        <w:spacing w:after="200"/>
        <w:ind w:left="502"/>
        <w:contextualSpacing/>
        <w:rPr>
          <w:rFonts w:ascii="Arial" w:hAnsi="Arial" w:cs="Arial"/>
          <w:lang w:eastAsia="en-US"/>
        </w:rPr>
      </w:pPr>
    </w:p>
    <w:p w14:paraId="6433846B" w14:textId="77777777" w:rsidR="001F459C" w:rsidRPr="00A600A1" w:rsidRDefault="001F459C" w:rsidP="0014423C">
      <w:pPr>
        <w:spacing w:after="200"/>
        <w:ind w:left="502"/>
        <w:contextualSpacing/>
        <w:rPr>
          <w:rFonts w:ascii="Arial" w:hAnsi="Arial" w:cs="Arial"/>
          <w:lang w:eastAsia="en-US"/>
        </w:rPr>
      </w:pPr>
      <w:r w:rsidRPr="00A600A1">
        <w:rPr>
          <w:rFonts w:ascii="Arial" w:hAnsi="Arial" w:cs="Arial"/>
          <w:lang w:eastAsia="en-US"/>
        </w:rPr>
        <w:t xml:space="preserve">There was discussion by the committee about the ongoing role, if any, of the PACHREA subcommittee on employment equity. Several committee members highlighted the value of the committee beyond just addressing FCP issues. </w:t>
      </w:r>
    </w:p>
    <w:p w14:paraId="276BF98E" w14:textId="77777777" w:rsidR="000642C5" w:rsidRPr="00A600A1" w:rsidRDefault="000642C5" w:rsidP="000642C5">
      <w:pPr>
        <w:spacing w:after="200"/>
        <w:contextualSpacing/>
        <w:rPr>
          <w:rFonts w:ascii="Arial" w:hAnsi="Arial" w:cs="Arial"/>
          <w:u w:val="single"/>
          <w:lang w:eastAsia="en-US"/>
        </w:rPr>
      </w:pPr>
    </w:p>
    <w:p w14:paraId="745179A6" w14:textId="77777777" w:rsidR="000642C5" w:rsidRPr="00A600A1" w:rsidRDefault="000642C5" w:rsidP="00592831">
      <w:pPr>
        <w:numPr>
          <w:ilvl w:val="0"/>
          <w:numId w:val="8"/>
        </w:numPr>
        <w:spacing w:after="200"/>
        <w:contextualSpacing/>
        <w:rPr>
          <w:rFonts w:ascii="Arial" w:hAnsi="Arial" w:cs="Arial"/>
          <w:lang w:eastAsia="en-US"/>
        </w:rPr>
      </w:pPr>
      <w:r w:rsidRPr="00A600A1">
        <w:rPr>
          <w:rFonts w:ascii="Arial" w:hAnsi="Arial" w:cs="Arial"/>
          <w:lang w:eastAsia="en-US"/>
        </w:rPr>
        <w:t>Human Rights (Julia Anderson)</w:t>
      </w:r>
    </w:p>
    <w:p w14:paraId="74B4D6EE" w14:textId="77777777" w:rsidR="00713DD1" w:rsidRPr="00A600A1" w:rsidRDefault="00713DD1" w:rsidP="00713DD1">
      <w:pPr>
        <w:spacing w:after="200"/>
        <w:contextualSpacing/>
        <w:rPr>
          <w:rFonts w:ascii="Arial" w:hAnsi="Arial" w:cs="Arial"/>
          <w:u w:val="single"/>
          <w:lang w:eastAsia="en-US"/>
        </w:rPr>
      </w:pPr>
    </w:p>
    <w:p w14:paraId="58A64B97" w14:textId="77777777" w:rsidR="00713DD1" w:rsidRPr="00A600A1" w:rsidRDefault="00713DD1" w:rsidP="00713DD1">
      <w:pPr>
        <w:spacing w:after="200"/>
        <w:ind w:left="540"/>
        <w:contextualSpacing/>
        <w:rPr>
          <w:rFonts w:ascii="Arial" w:hAnsi="Arial" w:cs="Arial"/>
          <w:lang w:eastAsia="en-US"/>
        </w:rPr>
      </w:pPr>
      <w:r w:rsidRPr="00A600A1">
        <w:rPr>
          <w:rFonts w:ascii="Arial" w:hAnsi="Arial" w:cs="Arial"/>
          <w:lang w:eastAsia="en-US"/>
        </w:rPr>
        <w:t xml:space="preserve">Julia provided an overview of the new discrimination and harassment policy. Julia noted that it is embedded in a collective agreement. The aim, she stated, was to make the policy quite universal and one that would have some longevity. </w:t>
      </w:r>
    </w:p>
    <w:p w14:paraId="7EAEC5AE" w14:textId="77777777" w:rsidR="00713DD1" w:rsidRPr="00A600A1" w:rsidRDefault="00713DD1" w:rsidP="00713DD1">
      <w:pPr>
        <w:spacing w:after="200"/>
        <w:ind w:left="540"/>
        <w:contextualSpacing/>
        <w:rPr>
          <w:rFonts w:ascii="Arial" w:hAnsi="Arial" w:cs="Arial"/>
          <w:lang w:eastAsia="en-US"/>
        </w:rPr>
      </w:pPr>
    </w:p>
    <w:p w14:paraId="11E29EA6" w14:textId="0E864662" w:rsidR="00713DD1" w:rsidRPr="00A600A1" w:rsidRDefault="00E9159D" w:rsidP="00713DD1">
      <w:pPr>
        <w:spacing w:after="200"/>
        <w:ind w:left="540"/>
        <w:contextualSpacing/>
        <w:rPr>
          <w:rFonts w:ascii="Arial" w:hAnsi="Arial" w:cs="Arial"/>
          <w:lang w:eastAsia="en-US"/>
        </w:rPr>
      </w:pPr>
      <w:r w:rsidRPr="00A600A1">
        <w:rPr>
          <w:rFonts w:ascii="Arial" w:hAnsi="Arial" w:cs="Arial"/>
          <w:lang w:eastAsia="en-US"/>
        </w:rPr>
        <w:t xml:space="preserve">Notably, Julia highlighted section ten of the policy that related to prevention, education and awareness. </w:t>
      </w:r>
      <w:r w:rsidR="00713DD1" w:rsidRPr="00A600A1">
        <w:rPr>
          <w:rFonts w:ascii="Arial" w:hAnsi="Arial" w:cs="Arial"/>
          <w:lang w:eastAsia="en-US"/>
        </w:rPr>
        <w:t xml:space="preserve">She, within this context, referred to the role of PACHREA, for example indicating that this committee would not provide feedback on specific human rights complaints. </w:t>
      </w:r>
    </w:p>
    <w:p w14:paraId="3DECF24A" w14:textId="77777777" w:rsidR="009875E2" w:rsidRPr="00A600A1" w:rsidRDefault="009875E2" w:rsidP="00713DD1">
      <w:pPr>
        <w:spacing w:after="200"/>
        <w:ind w:left="540"/>
        <w:contextualSpacing/>
        <w:rPr>
          <w:rFonts w:ascii="Arial" w:hAnsi="Arial" w:cs="Arial"/>
          <w:lang w:eastAsia="en-US"/>
        </w:rPr>
      </w:pPr>
    </w:p>
    <w:p w14:paraId="67D8D90C" w14:textId="77777777" w:rsidR="00E169A7" w:rsidRPr="00A600A1" w:rsidRDefault="009875E2" w:rsidP="00713DD1">
      <w:pPr>
        <w:spacing w:after="200"/>
        <w:ind w:left="540"/>
        <w:contextualSpacing/>
        <w:rPr>
          <w:rFonts w:ascii="Arial" w:hAnsi="Arial" w:cs="Arial"/>
          <w:lang w:eastAsia="en-US"/>
        </w:rPr>
      </w:pPr>
      <w:r w:rsidRPr="00A600A1">
        <w:rPr>
          <w:rFonts w:ascii="Arial" w:hAnsi="Arial" w:cs="Arial"/>
          <w:lang w:eastAsia="en-US"/>
        </w:rPr>
        <w:lastRenderedPageBreak/>
        <w:t xml:space="preserve">Julia also highlighted section 5.8 which referred to systemic discrimination. </w:t>
      </w:r>
    </w:p>
    <w:p w14:paraId="2875F7AE" w14:textId="77777777" w:rsidR="00E169A7" w:rsidRPr="00A600A1" w:rsidRDefault="00E169A7" w:rsidP="00713DD1">
      <w:pPr>
        <w:spacing w:after="200"/>
        <w:ind w:left="540"/>
        <w:contextualSpacing/>
        <w:rPr>
          <w:rFonts w:ascii="Arial" w:hAnsi="Arial" w:cs="Arial"/>
          <w:lang w:eastAsia="en-US"/>
        </w:rPr>
      </w:pPr>
    </w:p>
    <w:p w14:paraId="4617CC43" w14:textId="5F9DC2F8" w:rsidR="009875E2" w:rsidRPr="00A600A1" w:rsidRDefault="009875E2" w:rsidP="00713DD1">
      <w:pPr>
        <w:spacing w:after="200"/>
        <w:ind w:left="540"/>
        <w:contextualSpacing/>
        <w:rPr>
          <w:rFonts w:ascii="Arial" w:hAnsi="Arial" w:cs="Arial"/>
          <w:lang w:eastAsia="en-US"/>
        </w:rPr>
      </w:pPr>
      <w:r w:rsidRPr="00A600A1">
        <w:rPr>
          <w:rFonts w:ascii="Arial" w:hAnsi="Arial" w:cs="Arial"/>
          <w:lang w:eastAsia="en-US"/>
        </w:rPr>
        <w:t>Mike</w:t>
      </w:r>
      <w:r w:rsidR="00E169A7" w:rsidRPr="00A600A1">
        <w:rPr>
          <w:rFonts w:ascii="Arial" w:hAnsi="Arial" w:cs="Arial"/>
          <w:lang w:eastAsia="en-US"/>
        </w:rPr>
        <w:t xml:space="preserve"> stated that a key clause in this</w:t>
      </w:r>
      <w:r w:rsidRPr="00A600A1">
        <w:rPr>
          <w:rFonts w:ascii="Arial" w:hAnsi="Arial" w:cs="Arial"/>
          <w:lang w:eastAsia="en-US"/>
        </w:rPr>
        <w:t xml:space="preserve"> policy </w:t>
      </w:r>
      <w:r w:rsidR="00E9159D" w:rsidRPr="00A600A1">
        <w:rPr>
          <w:rFonts w:ascii="Arial" w:hAnsi="Arial" w:cs="Arial"/>
          <w:lang w:eastAsia="en-US"/>
        </w:rPr>
        <w:t>referred</w:t>
      </w:r>
      <w:r w:rsidRPr="00A600A1">
        <w:rPr>
          <w:rFonts w:ascii="Arial" w:hAnsi="Arial" w:cs="Arial"/>
          <w:lang w:eastAsia="en-US"/>
        </w:rPr>
        <w:t xml:space="preserve"> to the idea that although academic freedom is a paramount c</w:t>
      </w:r>
      <w:r w:rsidR="006B0173" w:rsidRPr="00A600A1">
        <w:rPr>
          <w:rFonts w:ascii="Arial" w:hAnsi="Arial" w:cs="Arial"/>
          <w:lang w:eastAsia="en-US"/>
        </w:rPr>
        <w:t xml:space="preserve">oncern it does not confer immunity </w:t>
      </w:r>
      <w:r w:rsidRPr="00A600A1">
        <w:rPr>
          <w:rFonts w:ascii="Arial" w:hAnsi="Arial" w:cs="Arial"/>
          <w:lang w:eastAsia="en-US"/>
        </w:rPr>
        <w:t xml:space="preserve">from this policy. </w:t>
      </w:r>
    </w:p>
    <w:p w14:paraId="1A03F5D7" w14:textId="77777777" w:rsidR="009875E2" w:rsidRPr="00A600A1" w:rsidRDefault="009875E2" w:rsidP="00713DD1">
      <w:pPr>
        <w:spacing w:after="200"/>
        <w:ind w:left="540"/>
        <w:contextualSpacing/>
        <w:rPr>
          <w:rFonts w:ascii="Arial" w:hAnsi="Arial" w:cs="Arial"/>
          <w:lang w:eastAsia="en-US"/>
        </w:rPr>
      </w:pPr>
    </w:p>
    <w:p w14:paraId="24FB083B" w14:textId="260984BC" w:rsidR="009875E2" w:rsidRPr="00A600A1" w:rsidRDefault="009875E2" w:rsidP="00713DD1">
      <w:pPr>
        <w:spacing w:after="200"/>
        <w:ind w:left="540"/>
        <w:contextualSpacing/>
        <w:rPr>
          <w:rFonts w:ascii="Arial" w:hAnsi="Arial" w:cs="Arial"/>
          <w:lang w:eastAsia="en-US"/>
        </w:rPr>
      </w:pPr>
      <w:r w:rsidRPr="00A600A1">
        <w:rPr>
          <w:rFonts w:ascii="Arial" w:hAnsi="Arial" w:cs="Arial"/>
          <w:lang w:eastAsia="en-US"/>
        </w:rPr>
        <w:t xml:space="preserve">There was committee discussion on the relationship of this policy to the Violence and Harassment policy as </w:t>
      </w:r>
      <w:r w:rsidR="00CA2C0C" w:rsidRPr="00A600A1">
        <w:rPr>
          <w:rFonts w:ascii="Arial" w:hAnsi="Arial" w:cs="Arial"/>
          <w:lang w:eastAsia="en-US"/>
        </w:rPr>
        <w:t>well as the Student Charter</w:t>
      </w:r>
      <w:r w:rsidRPr="00A600A1">
        <w:rPr>
          <w:rFonts w:ascii="Arial" w:hAnsi="Arial" w:cs="Arial"/>
          <w:lang w:eastAsia="en-US"/>
        </w:rPr>
        <w:t xml:space="preserve">. Committee members discussed mechanisms and strategies to bring clarity between these policies in order to avoid confusion and potential policy misuse. There was some discussion around whether it would be useful to have one access point and/or triage system for </w:t>
      </w:r>
      <w:r w:rsidR="006B0173" w:rsidRPr="00A600A1">
        <w:rPr>
          <w:rFonts w:ascii="Arial" w:hAnsi="Arial" w:cs="Arial"/>
          <w:lang w:eastAsia="en-US"/>
        </w:rPr>
        <w:t xml:space="preserve">human rights-type complaints </w:t>
      </w:r>
      <w:r w:rsidRPr="00A600A1">
        <w:rPr>
          <w:rFonts w:ascii="Arial" w:hAnsi="Arial" w:cs="Arial"/>
          <w:lang w:eastAsia="en-US"/>
        </w:rPr>
        <w:t xml:space="preserve">that are brought forward. </w:t>
      </w:r>
    </w:p>
    <w:p w14:paraId="4D779214" w14:textId="77777777" w:rsidR="001F459C" w:rsidRPr="00A600A1" w:rsidRDefault="001F459C" w:rsidP="001F459C">
      <w:pPr>
        <w:spacing w:after="200"/>
        <w:contextualSpacing/>
        <w:rPr>
          <w:rFonts w:ascii="Arial" w:hAnsi="Arial" w:cs="Arial"/>
          <w:u w:val="single"/>
          <w:lang w:eastAsia="en-US"/>
        </w:rPr>
      </w:pPr>
    </w:p>
    <w:p w14:paraId="5D15B74B" w14:textId="78248D27" w:rsidR="00713DD1" w:rsidRPr="00A600A1" w:rsidRDefault="00336E36" w:rsidP="00CA2C0C">
      <w:pPr>
        <w:pStyle w:val="ListParagraph"/>
        <w:numPr>
          <w:ilvl w:val="0"/>
          <w:numId w:val="8"/>
        </w:numPr>
        <w:spacing w:after="200"/>
        <w:contextualSpacing/>
        <w:rPr>
          <w:rFonts w:ascii="Arial" w:hAnsi="Arial" w:cs="Arial"/>
          <w:lang w:eastAsia="en-US"/>
        </w:rPr>
      </w:pPr>
      <w:r w:rsidRPr="00A600A1">
        <w:rPr>
          <w:rFonts w:ascii="Arial" w:hAnsi="Arial" w:cs="Arial"/>
          <w:lang w:eastAsia="en-US"/>
        </w:rPr>
        <w:t xml:space="preserve">Projects (Andrea Walsh). </w:t>
      </w:r>
    </w:p>
    <w:p w14:paraId="252595AF" w14:textId="33BC764A" w:rsidR="0078351F" w:rsidRPr="00A600A1" w:rsidRDefault="0078351F" w:rsidP="0078351F">
      <w:pPr>
        <w:spacing w:after="200"/>
        <w:ind w:left="540"/>
        <w:contextualSpacing/>
        <w:rPr>
          <w:rFonts w:ascii="Arial" w:hAnsi="Arial" w:cs="Arial"/>
          <w:lang w:eastAsia="en-US"/>
        </w:rPr>
      </w:pPr>
      <w:r w:rsidRPr="00A600A1">
        <w:rPr>
          <w:rFonts w:ascii="Arial" w:hAnsi="Arial" w:cs="Arial"/>
          <w:lang w:eastAsia="en-US"/>
        </w:rPr>
        <w:t xml:space="preserve">Andrea reported on two projects recently completed by OHREA </w:t>
      </w:r>
      <w:r w:rsidR="00484359" w:rsidRPr="00A600A1">
        <w:rPr>
          <w:rFonts w:ascii="Arial" w:hAnsi="Arial" w:cs="Arial"/>
          <w:lang w:eastAsia="en-US"/>
        </w:rPr>
        <w:t>student staff. In the summer of 2013</w:t>
      </w:r>
      <w:r w:rsidR="00E169A7" w:rsidRPr="00A600A1">
        <w:rPr>
          <w:rFonts w:ascii="Arial" w:hAnsi="Arial" w:cs="Arial"/>
          <w:lang w:eastAsia="en-US"/>
        </w:rPr>
        <w:t xml:space="preserve"> the</w:t>
      </w:r>
      <w:r w:rsidR="00484359" w:rsidRPr="00A600A1">
        <w:rPr>
          <w:rFonts w:ascii="Arial" w:hAnsi="Arial" w:cs="Arial"/>
          <w:lang w:eastAsia="en-US"/>
        </w:rPr>
        <w:t xml:space="preserve"> students began working on a video to highlight groups and organizations at Trent with some focus on hu</w:t>
      </w:r>
      <w:r w:rsidR="001F459C" w:rsidRPr="00A600A1">
        <w:rPr>
          <w:rFonts w:ascii="Arial" w:hAnsi="Arial" w:cs="Arial"/>
          <w:lang w:eastAsia="en-US"/>
        </w:rPr>
        <w:t>man rights and inclusion issues</w:t>
      </w:r>
      <w:r w:rsidR="00484359" w:rsidRPr="00A600A1">
        <w:rPr>
          <w:rFonts w:ascii="Arial" w:hAnsi="Arial" w:cs="Arial"/>
          <w:lang w:eastAsia="en-US"/>
        </w:rPr>
        <w:t xml:space="preserve">. </w:t>
      </w:r>
      <w:r w:rsidR="00713DD1" w:rsidRPr="00A600A1">
        <w:rPr>
          <w:rFonts w:ascii="Arial" w:hAnsi="Arial" w:cs="Arial"/>
          <w:lang w:eastAsia="en-US"/>
        </w:rPr>
        <w:t>As of early 2014</w:t>
      </w:r>
      <w:r w:rsidR="00E169A7" w:rsidRPr="00A600A1">
        <w:rPr>
          <w:rFonts w:ascii="Arial" w:hAnsi="Arial" w:cs="Arial"/>
          <w:lang w:eastAsia="en-US"/>
        </w:rPr>
        <w:t>,</w:t>
      </w:r>
      <w:r w:rsidR="00713DD1" w:rsidRPr="00A600A1">
        <w:rPr>
          <w:rFonts w:ascii="Arial" w:hAnsi="Arial" w:cs="Arial"/>
          <w:lang w:eastAsia="en-US"/>
        </w:rPr>
        <w:t xml:space="preserve"> the video was ready for wider dissemination to the University community. Mike asked if the video could be made available for viewing by committee members at the next PACHREA meeting. Andrea confirmed the video could be presented at the next meeting. </w:t>
      </w:r>
    </w:p>
    <w:p w14:paraId="2DEC2175" w14:textId="77777777" w:rsidR="00713DD1" w:rsidRPr="00A600A1" w:rsidRDefault="00713DD1" w:rsidP="0078351F">
      <w:pPr>
        <w:spacing w:after="200"/>
        <w:ind w:left="540"/>
        <w:contextualSpacing/>
        <w:rPr>
          <w:rFonts w:ascii="Arial" w:hAnsi="Arial" w:cs="Arial"/>
          <w:lang w:eastAsia="en-US"/>
        </w:rPr>
      </w:pPr>
    </w:p>
    <w:p w14:paraId="56CC58E6" w14:textId="77777777" w:rsidR="00713DD1" w:rsidRPr="00A600A1" w:rsidRDefault="00713DD1" w:rsidP="0078351F">
      <w:pPr>
        <w:spacing w:after="200"/>
        <w:ind w:left="540"/>
        <w:contextualSpacing/>
        <w:rPr>
          <w:rFonts w:ascii="Arial" w:hAnsi="Arial" w:cs="Arial"/>
          <w:lang w:eastAsia="en-US"/>
        </w:rPr>
      </w:pPr>
      <w:r w:rsidRPr="00A600A1">
        <w:rPr>
          <w:rFonts w:ascii="Arial" w:hAnsi="Arial" w:cs="Arial"/>
          <w:lang w:eastAsia="en-US"/>
        </w:rPr>
        <w:t xml:space="preserve">Andrea also reported on the work of OHREA student staff in preparing displays for OHREA bulletin boards on campus. One board was finished at the time of this meeting; it highlighted current human rights issues. </w:t>
      </w:r>
    </w:p>
    <w:p w14:paraId="787B4FC2" w14:textId="77777777" w:rsidR="009E318A" w:rsidRPr="00A600A1" w:rsidRDefault="009E318A" w:rsidP="00D1153C">
      <w:pPr>
        <w:spacing w:after="200"/>
        <w:contextualSpacing/>
        <w:rPr>
          <w:rFonts w:ascii="Arial" w:hAnsi="Arial" w:cs="Arial"/>
          <w:b/>
          <w:lang w:eastAsia="en-US"/>
        </w:rPr>
      </w:pPr>
    </w:p>
    <w:p w14:paraId="2DAFCE5F" w14:textId="2BB9394D" w:rsidR="009E318A" w:rsidRPr="00A600A1" w:rsidRDefault="009E318A" w:rsidP="007F23A4">
      <w:pPr>
        <w:spacing w:after="200"/>
        <w:contextualSpacing/>
        <w:rPr>
          <w:rFonts w:ascii="Arial" w:hAnsi="Arial" w:cs="Arial"/>
          <w:b/>
          <w:lang w:eastAsia="en-US"/>
        </w:rPr>
      </w:pPr>
      <w:r w:rsidRPr="00A600A1">
        <w:rPr>
          <w:rFonts w:ascii="Arial" w:hAnsi="Arial" w:cs="Arial"/>
          <w:b/>
          <w:lang w:eastAsia="en-US"/>
        </w:rPr>
        <w:t xml:space="preserve">4.  </w:t>
      </w:r>
      <w:r w:rsidR="00336E36" w:rsidRPr="00A600A1">
        <w:rPr>
          <w:rFonts w:ascii="Arial" w:hAnsi="Arial" w:cs="Arial"/>
          <w:b/>
          <w:lang w:eastAsia="en-US"/>
        </w:rPr>
        <w:t>OHREA Annual Report 2012-13 (Julia Anderson)</w:t>
      </w:r>
      <w:r w:rsidR="00A600A1">
        <w:rPr>
          <w:rFonts w:ascii="Arial" w:hAnsi="Arial" w:cs="Arial"/>
          <w:b/>
          <w:lang w:eastAsia="en-US"/>
        </w:rPr>
        <w:t>:</w:t>
      </w:r>
    </w:p>
    <w:p w14:paraId="4C8CE6F5" w14:textId="77777777" w:rsidR="009E318A" w:rsidRPr="00CA2C0C" w:rsidRDefault="009E318A" w:rsidP="00B50486">
      <w:pPr>
        <w:spacing w:after="200"/>
        <w:contextualSpacing/>
        <w:rPr>
          <w:u w:val="single"/>
          <w:lang w:eastAsia="en-US"/>
        </w:rPr>
      </w:pPr>
    </w:p>
    <w:p w14:paraId="548513AD" w14:textId="27157947" w:rsidR="009875E2" w:rsidRPr="00A600A1" w:rsidRDefault="002C53D6" w:rsidP="00B50486">
      <w:pPr>
        <w:spacing w:after="200"/>
        <w:contextualSpacing/>
        <w:rPr>
          <w:rFonts w:ascii="Arial" w:hAnsi="Arial" w:cs="Arial"/>
        </w:rPr>
      </w:pPr>
      <w:r w:rsidRPr="00A600A1">
        <w:rPr>
          <w:rFonts w:ascii="Arial" w:hAnsi="Arial" w:cs="Arial"/>
          <w:lang w:eastAsia="en-US"/>
        </w:rPr>
        <w:t xml:space="preserve">Julia reported that the three-year plan that the PACHREA committee created in 2012-13 helped the OHREA office build its new strategic plan/direction. Julia reported that this </w:t>
      </w:r>
      <w:r w:rsidR="00E9159D" w:rsidRPr="00A600A1">
        <w:rPr>
          <w:rFonts w:ascii="Arial" w:hAnsi="Arial" w:cs="Arial"/>
          <w:lang w:eastAsia="en-US"/>
        </w:rPr>
        <w:t>would</w:t>
      </w:r>
      <w:r w:rsidRPr="00A600A1">
        <w:rPr>
          <w:rFonts w:ascii="Arial" w:hAnsi="Arial" w:cs="Arial"/>
          <w:lang w:eastAsia="en-US"/>
        </w:rPr>
        <w:t xml:space="preserve"> be discussed further at the next PACHREA meeting. </w:t>
      </w:r>
    </w:p>
    <w:p w14:paraId="1050C96A" w14:textId="77777777" w:rsidR="009E318A" w:rsidRPr="00A600A1" w:rsidRDefault="009E318A" w:rsidP="00B50486">
      <w:pPr>
        <w:spacing w:after="200"/>
        <w:ind w:left="1080"/>
        <w:contextualSpacing/>
        <w:rPr>
          <w:rFonts w:ascii="Arial" w:hAnsi="Arial" w:cs="Arial"/>
          <w:b/>
        </w:rPr>
      </w:pPr>
    </w:p>
    <w:p w14:paraId="064B9AC3" w14:textId="785003D2" w:rsidR="009E318A" w:rsidRPr="00A600A1" w:rsidRDefault="009E318A" w:rsidP="002C53D6">
      <w:pPr>
        <w:spacing w:after="200"/>
        <w:contextualSpacing/>
        <w:rPr>
          <w:rFonts w:ascii="Arial" w:hAnsi="Arial" w:cs="Arial"/>
          <w:b/>
          <w:lang w:eastAsia="en-US"/>
        </w:rPr>
      </w:pPr>
      <w:r w:rsidRPr="00A600A1">
        <w:rPr>
          <w:rFonts w:ascii="Arial" w:hAnsi="Arial" w:cs="Arial"/>
          <w:b/>
          <w:lang w:eastAsia="en-US"/>
        </w:rPr>
        <w:t xml:space="preserve">5. </w:t>
      </w:r>
      <w:r w:rsidR="00592831" w:rsidRPr="00A600A1">
        <w:rPr>
          <w:rFonts w:ascii="Arial" w:hAnsi="Arial" w:cs="Arial"/>
          <w:b/>
          <w:lang w:eastAsia="en-US"/>
        </w:rPr>
        <w:t>Ombudsperson Office and OHREA (Julia Anderson)</w:t>
      </w:r>
      <w:r w:rsidR="00A600A1">
        <w:rPr>
          <w:rFonts w:ascii="Arial" w:hAnsi="Arial" w:cs="Arial"/>
          <w:b/>
          <w:lang w:eastAsia="en-US"/>
        </w:rPr>
        <w:t>:</w:t>
      </w:r>
    </w:p>
    <w:p w14:paraId="1D7CE79C" w14:textId="77777777" w:rsidR="002C53D6" w:rsidRPr="00CA2C0C" w:rsidRDefault="002C53D6" w:rsidP="002C53D6">
      <w:pPr>
        <w:spacing w:after="200"/>
        <w:contextualSpacing/>
        <w:rPr>
          <w:lang w:eastAsia="en-US"/>
        </w:rPr>
      </w:pPr>
    </w:p>
    <w:p w14:paraId="5BCE0B0F" w14:textId="4069D9A4" w:rsidR="002C53D6" w:rsidRPr="00A600A1" w:rsidRDefault="002C53D6" w:rsidP="002C53D6">
      <w:pPr>
        <w:spacing w:after="200"/>
        <w:contextualSpacing/>
        <w:rPr>
          <w:rFonts w:ascii="Arial" w:hAnsi="Arial" w:cs="Arial"/>
          <w:lang w:eastAsia="en-US"/>
        </w:rPr>
      </w:pPr>
      <w:r w:rsidRPr="00A600A1">
        <w:rPr>
          <w:rFonts w:ascii="Arial" w:hAnsi="Arial" w:cs="Arial"/>
          <w:lang w:eastAsia="en-US"/>
        </w:rPr>
        <w:t xml:space="preserve">Julia reported on </w:t>
      </w:r>
      <w:r w:rsidR="00B16AC5" w:rsidRPr="00A600A1">
        <w:rPr>
          <w:rFonts w:ascii="Arial" w:hAnsi="Arial" w:cs="Arial"/>
          <w:lang w:eastAsia="en-US"/>
        </w:rPr>
        <w:t>proposed</w:t>
      </w:r>
      <w:r w:rsidR="006B0173" w:rsidRPr="00A600A1">
        <w:rPr>
          <w:rFonts w:ascii="Arial" w:hAnsi="Arial" w:cs="Arial"/>
          <w:lang w:eastAsia="en-US"/>
        </w:rPr>
        <w:t xml:space="preserve"> </w:t>
      </w:r>
      <w:r w:rsidR="00B16AC5" w:rsidRPr="00A600A1">
        <w:rPr>
          <w:rFonts w:ascii="Arial" w:hAnsi="Arial" w:cs="Arial"/>
          <w:lang w:eastAsia="en-US"/>
        </w:rPr>
        <w:t>provincial legislation</w:t>
      </w:r>
      <w:r w:rsidRPr="00A600A1">
        <w:rPr>
          <w:rFonts w:ascii="Arial" w:hAnsi="Arial" w:cs="Arial"/>
          <w:lang w:eastAsia="en-US"/>
        </w:rPr>
        <w:t xml:space="preserve"> that would result in the Ombudsperson of Ont</w:t>
      </w:r>
      <w:r w:rsidR="00B16AC5" w:rsidRPr="00A600A1">
        <w:rPr>
          <w:rFonts w:ascii="Arial" w:hAnsi="Arial" w:cs="Arial"/>
          <w:lang w:eastAsia="en-US"/>
        </w:rPr>
        <w:t>ario to include the MUSH sector.</w:t>
      </w:r>
      <w:r w:rsidRPr="00A600A1">
        <w:rPr>
          <w:rFonts w:ascii="Arial" w:hAnsi="Arial" w:cs="Arial"/>
          <w:lang w:eastAsia="en-US"/>
        </w:rPr>
        <w:t xml:space="preserve"> </w:t>
      </w:r>
      <w:r w:rsidR="00B16AC5" w:rsidRPr="00A600A1">
        <w:rPr>
          <w:rFonts w:ascii="Arial" w:hAnsi="Arial" w:cs="Arial"/>
          <w:lang w:eastAsia="en-US"/>
        </w:rPr>
        <w:t>T</w:t>
      </w:r>
      <w:r w:rsidRPr="00A600A1">
        <w:rPr>
          <w:rFonts w:ascii="Arial" w:hAnsi="Arial" w:cs="Arial"/>
          <w:lang w:eastAsia="en-US"/>
        </w:rPr>
        <w:t xml:space="preserve">he Council of </w:t>
      </w:r>
      <w:r w:rsidR="00E9159D" w:rsidRPr="00A600A1">
        <w:rPr>
          <w:rFonts w:ascii="Arial" w:hAnsi="Arial" w:cs="Arial"/>
          <w:lang w:eastAsia="en-US"/>
        </w:rPr>
        <w:t>Ontario</w:t>
      </w:r>
      <w:r w:rsidRPr="00A600A1">
        <w:rPr>
          <w:rFonts w:ascii="Arial" w:hAnsi="Arial" w:cs="Arial"/>
          <w:lang w:eastAsia="en-US"/>
        </w:rPr>
        <w:t xml:space="preserve"> Universities’ position </w:t>
      </w:r>
      <w:r w:rsidR="00B16AC5" w:rsidRPr="00A600A1">
        <w:rPr>
          <w:rFonts w:ascii="Arial" w:hAnsi="Arial" w:cs="Arial"/>
          <w:lang w:eastAsia="en-US"/>
        </w:rPr>
        <w:t xml:space="preserve">on this </w:t>
      </w:r>
      <w:r w:rsidRPr="00A600A1">
        <w:rPr>
          <w:rFonts w:ascii="Arial" w:hAnsi="Arial" w:cs="Arial"/>
          <w:lang w:eastAsia="en-US"/>
        </w:rPr>
        <w:t>was for universities to create their own ombudsperson offices and avoid provincial coverage by this office. Julia rep</w:t>
      </w:r>
      <w:r w:rsidR="00CA2C0C" w:rsidRPr="00A600A1">
        <w:rPr>
          <w:rFonts w:ascii="Arial" w:hAnsi="Arial" w:cs="Arial"/>
          <w:lang w:eastAsia="en-US"/>
        </w:rPr>
        <w:t>orted that some universities already</w:t>
      </w:r>
      <w:r w:rsidRPr="00A600A1">
        <w:rPr>
          <w:rFonts w:ascii="Arial" w:hAnsi="Arial" w:cs="Arial"/>
          <w:lang w:eastAsia="en-US"/>
        </w:rPr>
        <w:t xml:space="preserve"> have ombudsperson offices. </w:t>
      </w:r>
    </w:p>
    <w:p w14:paraId="0A8B31EB" w14:textId="77777777" w:rsidR="002C53D6" w:rsidRPr="00A600A1" w:rsidRDefault="002C53D6" w:rsidP="002C53D6">
      <w:pPr>
        <w:spacing w:after="200"/>
        <w:contextualSpacing/>
        <w:rPr>
          <w:rFonts w:ascii="Arial" w:hAnsi="Arial" w:cs="Arial"/>
          <w:lang w:eastAsia="en-US"/>
        </w:rPr>
      </w:pPr>
    </w:p>
    <w:p w14:paraId="2FE3717B" w14:textId="77777777" w:rsidR="00CA2C0C" w:rsidRPr="00A600A1" w:rsidRDefault="002C53D6" w:rsidP="002C53D6">
      <w:pPr>
        <w:spacing w:after="200"/>
        <w:contextualSpacing/>
        <w:rPr>
          <w:rFonts w:ascii="Arial" w:hAnsi="Arial" w:cs="Arial"/>
          <w:lang w:eastAsia="en-US"/>
        </w:rPr>
      </w:pPr>
      <w:r w:rsidRPr="00A600A1">
        <w:rPr>
          <w:rFonts w:ascii="Arial" w:hAnsi="Arial" w:cs="Arial"/>
          <w:lang w:eastAsia="en-US"/>
        </w:rPr>
        <w:t xml:space="preserve">There was extensive discussion </w:t>
      </w:r>
      <w:r w:rsidR="00581B07" w:rsidRPr="00A600A1">
        <w:rPr>
          <w:rFonts w:ascii="Arial" w:hAnsi="Arial" w:cs="Arial"/>
          <w:lang w:eastAsia="en-US"/>
        </w:rPr>
        <w:t xml:space="preserve">around potential for ombudsperson and conflict resolution roles at Trent. The committee discussed a range of issues including the relationship between ombudsperson offices </w:t>
      </w:r>
      <w:r w:rsidR="00CA2C0C" w:rsidRPr="00A600A1">
        <w:rPr>
          <w:rFonts w:ascii="Arial" w:hAnsi="Arial" w:cs="Arial"/>
          <w:lang w:eastAsia="en-US"/>
        </w:rPr>
        <w:t>and conflict resolution offices</w:t>
      </w:r>
      <w:r w:rsidR="00581B07" w:rsidRPr="00A600A1">
        <w:rPr>
          <w:rFonts w:ascii="Arial" w:hAnsi="Arial" w:cs="Arial"/>
          <w:lang w:eastAsia="en-US"/>
        </w:rPr>
        <w:t xml:space="preserve">. </w:t>
      </w:r>
    </w:p>
    <w:p w14:paraId="3140B795" w14:textId="77777777" w:rsidR="00323B06" w:rsidRPr="00A600A1" w:rsidRDefault="00323B06" w:rsidP="002C53D6">
      <w:pPr>
        <w:spacing w:after="200"/>
        <w:contextualSpacing/>
        <w:rPr>
          <w:rFonts w:ascii="Arial" w:hAnsi="Arial" w:cs="Arial"/>
          <w:lang w:eastAsia="en-US"/>
        </w:rPr>
      </w:pPr>
    </w:p>
    <w:p w14:paraId="1ACFAA65" w14:textId="48F3CA86" w:rsidR="00323B06" w:rsidRPr="00A600A1" w:rsidRDefault="00E169A7" w:rsidP="002C53D6">
      <w:pPr>
        <w:spacing w:after="200"/>
        <w:contextualSpacing/>
        <w:rPr>
          <w:rFonts w:ascii="Arial" w:hAnsi="Arial" w:cs="Arial"/>
          <w:lang w:eastAsia="en-US"/>
        </w:rPr>
      </w:pPr>
      <w:r w:rsidRPr="00A600A1">
        <w:rPr>
          <w:rFonts w:ascii="Arial" w:hAnsi="Arial" w:cs="Arial"/>
          <w:lang w:eastAsia="en-US"/>
        </w:rPr>
        <w:t>It was decided that an Ad Hoc</w:t>
      </w:r>
      <w:r w:rsidR="00CA2C0C" w:rsidRPr="00A600A1">
        <w:rPr>
          <w:rFonts w:ascii="Arial" w:hAnsi="Arial" w:cs="Arial"/>
          <w:lang w:eastAsia="en-US"/>
        </w:rPr>
        <w:t xml:space="preserve"> committee would be established to discuss this issue further.</w:t>
      </w:r>
    </w:p>
    <w:p w14:paraId="2BC8A14F" w14:textId="77777777" w:rsidR="009E318A" w:rsidRPr="00A600A1" w:rsidRDefault="009E318A" w:rsidP="0071701B">
      <w:pPr>
        <w:spacing w:after="200"/>
        <w:contextualSpacing/>
        <w:rPr>
          <w:rFonts w:ascii="Arial" w:hAnsi="Arial" w:cs="Arial"/>
          <w:lang w:eastAsia="en-US"/>
        </w:rPr>
      </w:pPr>
    </w:p>
    <w:p w14:paraId="4AE12B84" w14:textId="6F194123" w:rsidR="009E318A" w:rsidRPr="00A600A1" w:rsidRDefault="00CA2C0C" w:rsidP="007F23A4">
      <w:pPr>
        <w:spacing w:after="200"/>
        <w:contextualSpacing/>
        <w:rPr>
          <w:rFonts w:ascii="Arial" w:hAnsi="Arial" w:cs="Arial"/>
          <w:b/>
          <w:lang w:eastAsia="en-US"/>
        </w:rPr>
      </w:pPr>
      <w:r w:rsidRPr="00A600A1">
        <w:rPr>
          <w:rFonts w:ascii="Arial" w:hAnsi="Arial" w:cs="Arial"/>
          <w:b/>
          <w:lang w:eastAsia="en-US"/>
        </w:rPr>
        <w:t>6. Discussion</w:t>
      </w:r>
      <w:r w:rsidR="00592831" w:rsidRPr="00A600A1">
        <w:rPr>
          <w:rFonts w:ascii="Arial" w:hAnsi="Arial" w:cs="Arial"/>
          <w:b/>
          <w:lang w:eastAsia="en-US"/>
        </w:rPr>
        <w:t xml:space="preserve"> on Sub-Committees (Mike Allcott)</w:t>
      </w:r>
      <w:r w:rsidR="00A600A1">
        <w:rPr>
          <w:rFonts w:ascii="Arial" w:hAnsi="Arial" w:cs="Arial"/>
          <w:b/>
          <w:lang w:eastAsia="en-US"/>
        </w:rPr>
        <w:t>:</w:t>
      </w:r>
    </w:p>
    <w:p w14:paraId="3B4F3C4C" w14:textId="77777777" w:rsidR="00993A09" w:rsidRPr="00A600A1" w:rsidRDefault="00993A09" w:rsidP="007F23A4">
      <w:pPr>
        <w:spacing w:after="200"/>
        <w:contextualSpacing/>
        <w:rPr>
          <w:rFonts w:ascii="Arial" w:hAnsi="Arial" w:cs="Arial"/>
          <w:b/>
          <w:lang w:eastAsia="en-US"/>
        </w:rPr>
      </w:pPr>
    </w:p>
    <w:p w14:paraId="5FD879D2" w14:textId="1AF80309" w:rsidR="00993A09" w:rsidRPr="00A600A1" w:rsidRDefault="006B0173" w:rsidP="007F23A4">
      <w:pPr>
        <w:spacing w:after="200"/>
        <w:contextualSpacing/>
        <w:rPr>
          <w:rFonts w:ascii="Arial" w:hAnsi="Arial" w:cs="Arial"/>
          <w:lang w:eastAsia="en-US"/>
        </w:rPr>
      </w:pPr>
      <w:r w:rsidRPr="00A600A1">
        <w:rPr>
          <w:rFonts w:ascii="Arial" w:hAnsi="Arial" w:cs="Arial"/>
          <w:lang w:eastAsia="en-US"/>
        </w:rPr>
        <w:t>Creation</w:t>
      </w:r>
      <w:r w:rsidR="00993A09" w:rsidRPr="00A600A1">
        <w:rPr>
          <w:rFonts w:ascii="Arial" w:hAnsi="Arial" w:cs="Arial"/>
          <w:lang w:eastAsia="en-US"/>
        </w:rPr>
        <w:t xml:space="preserve"> or continuation of four subcommittees was discussed and agreed upon through informal consensus. </w:t>
      </w:r>
    </w:p>
    <w:p w14:paraId="0EC64B67" w14:textId="08B30A67" w:rsidR="00993A09" w:rsidRPr="00A600A1" w:rsidRDefault="00E169A7" w:rsidP="00993A09">
      <w:pPr>
        <w:pStyle w:val="ListParagraph"/>
        <w:numPr>
          <w:ilvl w:val="0"/>
          <w:numId w:val="13"/>
        </w:numPr>
        <w:spacing w:after="200"/>
        <w:contextualSpacing/>
        <w:rPr>
          <w:rFonts w:ascii="Arial" w:hAnsi="Arial" w:cs="Arial"/>
          <w:lang w:eastAsia="en-US"/>
        </w:rPr>
      </w:pPr>
      <w:r w:rsidRPr="00A600A1">
        <w:rPr>
          <w:rFonts w:ascii="Arial" w:hAnsi="Arial" w:cs="Arial"/>
          <w:lang w:eastAsia="en-US"/>
        </w:rPr>
        <w:lastRenderedPageBreak/>
        <w:t>Ad Hoc</w:t>
      </w:r>
      <w:r w:rsidR="00CA2C0C" w:rsidRPr="00A600A1">
        <w:rPr>
          <w:rFonts w:ascii="Arial" w:hAnsi="Arial" w:cs="Arial"/>
          <w:lang w:eastAsia="en-US"/>
        </w:rPr>
        <w:t xml:space="preserve"> committee on the </w:t>
      </w:r>
      <w:r w:rsidR="00993A09" w:rsidRPr="00A600A1">
        <w:rPr>
          <w:rFonts w:ascii="Arial" w:hAnsi="Arial" w:cs="Arial"/>
          <w:lang w:eastAsia="en-US"/>
        </w:rPr>
        <w:t>Ombudsperson and conflict resolution</w:t>
      </w:r>
    </w:p>
    <w:p w14:paraId="68476749" w14:textId="77777777" w:rsidR="00993A09" w:rsidRPr="00A600A1" w:rsidRDefault="00993A09" w:rsidP="00993A09">
      <w:pPr>
        <w:pStyle w:val="ListParagraph"/>
        <w:numPr>
          <w:ilvl w:val="0"/>
          <w:numId w:val="13"/>
        </w:numPr>
        <w:spacing w:after="200"/>
        <w:contextualSpacing/>
        <w:rPr>
          <w:rFonts w:ascii="Arial" w:hAnsi="Arial" w:cs="Arial"/>
          <w:u w:val="single"/>
          <w:lang w:eastAsia="en-US"/>
        </w:rPr>
      </w:pPr>
      <w:r w:rsidRPr="00A600A1">
        <w:rPr>
          <w:rFonts w:ascii="Arial" w:hAnsi="Arial" w:cs="Arial"/>
          <w:lang w:eastAsia="en-US"/>
        </w:rPr>
        <w:t xml:space="preserve">Education </w:t>
      </w:r>
    </w:p>
    <w:p w14:paraId="1652568E" w14:textId="77777777" w:rsidR="00993A09" w:rsidRPr="00A600A1" w:rsidRDefault="00993A09" w:rsidP="00993A09">
      <w:pPr>
        <w:pStyle w:val="ListParagraph"/>
        <w:numPr>
          <w:ilvl w:val="0"/>
          <w:numId w:val="13"/>
        </w:numPr>
        <w:spacing w:after="200"/>
        <w:contextualSpacing/>
        <w:rPr>
          <w:rFonts w:ascii="Arial" w:hAnsi="Arial" w:cs="Arial"/>
          <w:u w:val="single"/>
          <w:lang w:eastAsia="en-US"/>
        </w:rPr>
      </w:pPr>
      <w:r w:rsidRPr="00A600A1">
        <w:rPr>
          <w:rFonts w:ascii="Arial" w:hAnsi="Arial" w:cs="Arial"/>
          <w:lang w:eastAsia="en-US"/>
        </w:rPr>
        <w:t xml:space="preserve">Gender Equity </w:t>
      </w:r>
    </w:p>
    <w:p w14:paraId="6FCF42CD" w14:textId="77777777" w:rsidR="00993A09" w:rsidRPr="00A600A1" w:rsidRDefault="00993A09" w:rsidP="00993A09">
      <w:pPr>
        <w:pStyle w:val="ListParagraph"/>
        <w:numPr>
          <w:ilvl w:val="0"/>
          <w:numId w:val="13"/>
        </w:numPr>
        <w:spacing w:after="200"/>
        <w:contextualSpacing/>
        <w:rPr>
          <w:rFonts w:ascii="Arial" w:hAnsi="Arial" w:cs="Arial"/>
          <w:u w:val="single"/>
          <w:lang w:eastAsia="en-US"/>
        </w:rPr>
      </w:pPr>
      <w:r w:rsidRPr="00A600A1">
        <w:rPr>
          <w:rFonts w:ascii="Arial" w:hAnsi="Arial" w:cs="Arial"/>
          <w:lang w:eastAsia="en-US"/>
        </w:rPr>
        <w:t xml:space="preserve">Accessibility </w:t>
      </w:r>
    </w:p>
    <w:p w14:paraId="7D429BAB" w14:textId="3DF653BD" w:rsidR="00993A09" w:rsidRPr="00A600A1" w:rsidRDefault="00993A09" w:rsidP="00993A09">
      <w:pPr>
        <w:spacing w:after="200"/>
        <w:contextualSpacing/>
        <w:rPr>
          <w:rFonts w:ascii="Arial" w:hAnsi="Arial" w:cs="Arial"/>
          <w:lang w:eastAsia="en-US"/>
        </w:rPr>
      </w:pPr>
      <w:r w:rsidRPr="00A600A1">
        <w:rPr>
          <w:rFonts w:ascii="Arial" w:hAnsi="Arial" w:cs="Arial"/>
          <w:lang w:eastAsia="en-US"/>
        </w:rPr>
        <w:t xml:space="preserve">Julia stated that she </w:t>
      </w:r>
      <w:r w:rsidR="00E9159D" w:rsidRPr="00A600A1">
        <w:rPr>
          <w:rFonts w:ascii="Arial" w:hAnsi="Arial" w:cs="Arial"/>
          <w:lang w:eastAsia="en-US"/>
        </w:rPr>
        <w:t>would</w:t>
      </w:r>
      <w:r w:rsidRPr="00A600A1">
        <w:rPr>
          <w:rFonts w:ascii="Arial" w:hAnsi="Arial" w:cs="Arial"/>
          <w:lang w:eastAsia="en-US"/>
        </w:rPr>
        <w:t xml:space="preserve"> email a sign-up sheet to committee members. </w:t>
      </w:r>
    </w:p>
    <w:p w14:paraId="7F5AF038" w14:textId="77777777" w:rsidR="009E318A" w:rsidRPr="00A600A1" w:rsidRDefault="009E318A" w:rsidP="0071701B">
      <w:pPr>
        <w:spacing w:after="200"/>
        <w:contextualSpacing/>
        <w:rPr>
          <w:rFonts w:ascii="Arial" w:hAnsi="Arial" w:cs="Arial"/>
          <w:b/>
          <w:u w:val="single"/>
          <w:lang w:eastAsia="en-US"/>
        </w:rPr>
      </w:pPr>
    </w:p>
    <w:p w14:paraId="5EBE9358" w14:textId="549165CC" w:rsidR="00323B06" w:rsidRPr="00A600A1" w:rsidRDefault="009E318A" w:rsidP="0071701B">
      <w:pPr>
        <w:spacing w:after="200"/>
        <w:contextualSpacing/>
        <w:rPr>
          <w:rFonts w:ascii="Arial" w:hAnsi="Arial" w:cs="Arial"/>
          <w:b/>
          <w:lang w:eastAsia="en-US"/>
        </w:rPr>
      </w:pPr>
      <w:r w:rsidRPr="00A600A1">
        <w:rPr>
          <w:rFonts w:ascii="Arial" w:hAnsi="Arial" w:cs="Arial"/>
          <w:b/>
          <w:lang w:eastAsia="en-US"/>
        </w:rPr>
        <w:t>7.   Other Business/Open Discussion</w:t>
      </w:r>
      <w:r w:rsidR="00A600A1">
        <w:rPr>
          <w:rFonts w:ascii="Arial" w:hAnsi="Arial" w:cs="Arial"/>
          <w:b/>
          <w:lang w:eastAsia="en-US"/>
        </w:rPr>
        <w:t>:</w:t>
      </w:r>
      <w:r w:rsidRPr="00A600A1">
        <w:rPr>
          <w:rFonts w:ascii="Arial" w:hAnsi="Arial" w:cs="Arial"/>
          <w:b/>
          <w:lang w:eastAsia="en-US"/>
        </w:rPr>
        <w:t xml:space="preserve"> </w:t>
      </w:r>
    </w:p>
    <w:p w14:paraId="502792AD" w14:textId="77777777" w:rsidR="00323B06" w:rsidRPr="00A600A1" w:rsidRDefault="00323B06" w:rsidP="0071701B">
      <w:pPr>
        <w:spacing w:after="200"/>
        <w:contextualSpacing/>
        <w:rPr>
          <w:rFonts w:ascii="Arial" w:hAnsi="Arial" w:cs="Arial"/>
          <w:lang w:eastAsia="en-US"/>
        </w:rPr>
      </w:pPr>
    </w:p>
    <w:p w14:paraId="1932CC6B" w14:textId="77777777" w:rsidR="009E318A" w:rsidRPr="00A600A1" w:rsidRDefault="00323B06" w:rsidP="00CB5015">
      <w:pPr>
        <w:spacing w:after="200"/>
        <w:ind w:firstLine="360"/>
        <w:contextualSpacing/>
        <w:rPr>
          <w:rFonts w:ascii="Arial" w:hAnsi="Arial" w:cs="Arial"/>
          <w:lang w:eastAsia="en-US"/>
        </w:rPr>
      </w:pPr>
      <w:r w:rsidRPr="00A600A1">
        <w:rPr>
          <w:rFonts w:ascii="Arial" w:hAnsi="Arial" w:cs="Arial"/>
          <w:lang w:eastAsia="en-US"/>
        </w:rPr>
        <w:t>N</w:t>
      </w:r>
      <w:r w:rsidR="0078351F" w:rsidRPr="00A600A1">
        <w:rPr>
          <w:rFonts w:ascii="Arial" w:hAnsi="Arial" w:cs="Arial"/>
          <w:lang w:eastAsia="en-US"/>
        </w:rPr>
        <w:t>one</w:t>
      </w:r>
    </w:p>
    <w:p w14:paraId="4CD8E8FB" w14:textId="77777777" w:rsidR="009E318A" w:rsidRPr="00A600A1" w:rsidRDefault="009E318A" w:rsidP="007346EF">
      <w:pPr>
        <w:spacing w:after="200"/>
        <w:ind w:left="180"/>
        <w:contextualSpacing/>
        <w:rPr>
          <w:rFonts w:ascii="Arial" w:hAnsi="Arial" w:cs="Arial"/>
          <w:u w:val="single"/>
          <w:lang w:eastAsia="en-US"/>
        </w:rPr>
      </w:pPr>
    </w:p>
    <w:p w14:paraId="784A6029" w14:textId="77777777" w:rsidR="00CB5015" w:rsidRDefault="009E318A" w:rsidP="00CB5015">
      <w:pPr>
        <w:pStyle w:val="ListParagraph"/>
        <w:numPr>
          <w:ilvl w:val="0"/>
          <w:numId w:val="10"/>
        </w:numPr>
        <w:spacing w:after="200"/>
        <w:contextualSpacing/>
        <w:rPr>
          <w:rFonts w:ascii="Arial" w:hAnsi="Arial" w:cs="Arial"/>
          <w:lang w:eastAsia="en-US"/>
        </w:rPr>
      </w:pPr>
      <w:r w:rsidRPr="00A600A1">
        <w:rPr>
          <w:rFonts w:ascii="Arial" w:hAnsi="Arial" w:cs="Arial"/>
          <w:b/>
          <w:lang w:eastAsia="en-US"/>
        </w:rPr>
        <w:t>Adjournment</w:t>
      </w:r>
      <w:r w:rsidR="00A600A1">
        <w:rPr>
          <w:rFonts w:ascii="Arial" w:hAnsi="Arial" w:cs="Arial"/>
          <w:b/>
          <w:lang w:eastAsia="en-US"/>
        </w:rPr>
        <w:t>:</w:t>
      </w:r>
      <w:r w:rsidRPr="00A600A1">
        <w:rPr>
          <w:rFonts w:ascii="Arial" w:hAnsi="Arial" w:cs="Arial"/>
          <w:lang w:eastAsia="en-US"/>
        </w:rPr>
        <w:t xml:space="preserve">  Meetin</w:t>
      </w:r>
      <w:r w:rsidR="0078351F" w:rsidRPr="00A600A1">
        <w:rPr>
          <w:rFonts w:ascii="Arial" w:hAnsi="Arial" w:cs="Arial"/>
          <w:lang w:eastAsia="en-US"/>
        </w:rPr>
        <w:t>g was adjourned by Mike at 12:05</w:t>
      </w:r>
      <w:r w:rsidRPr="00A600A1">
        <w:rPr>
          <w:rFonts w:ascii="Arial" w:hAnsi="Arial" w:cs="Arial"/>
          <w:lang w:eastAsia="en-US"/>
        </w:rPr>
        <w:t>p.m</w:t>
      </w:r>
    </w:p>
    <w:p w14:paraId="1FCF37EB" w14:textId="77777777" w:rsidR="00CB5015" w:rsidRDefault="00CB5015" w:rsidP="00CB5015">
      <w:pPr>
        <w:spacing w:after="200"/>
        <w:ind w:firstLine="360"/>
        <w:contextualSpacing/>
        <w:rPr>
          <w:rFonts w:ascii="Arial" w:hAnsi="Arial" w:cs="Arial"/>
          <w:b/>
          <w:lang w:eastAsia="en-US"/>
        </w:rPr>
      </w:pPr>
    </w:p>
    <w:p w14:paraId="6B838246" w14:textId="3A6A6C73" w:rsidR="009E318A" w:rsidRPr="00CB5015" w:rsidRDefault="009E318A" w:rsidP="00CB5015">
      <w:pPr>
        <w:spacing w:after="200"/>
        <w:ind w:firstLine="360"/>
        <w:contextualSpacing/>
        <w:rPr>
          <w:rFonts w:ascii="Arial" w:hAnsi="Arial" w:cs="Arial"/>
          <w:lang w:eastAsia="en-US"/>
        </w:rPr>
      </w:pPr>
      <w:bookmarkStart w:id="0" w:name="_GoBack"/>
      <w:bookmarkEnd w:id="0"/>
      <w:r w:rsidRPr="00CB5015">
        <w:rPr>
          <w:rFonts w:ascii="Arial" w:hAnsi="Arial" w:cs="Arial"/>
          <w:b/>
          <w:lang w:eastAsia="en-US"/>
        </w:rPr>
        <w:t>Next Meeting:</w:t>
      </w:r>
      <w:r w:rsidRPr="00CB5015">
        <w:rPr>
          <w:rFonts w:ascii="Arial" w:hAnsi="Arial" w:cs="Arial"/>
          <w:lang w:eastAsia="en-US"/>
        </w:rPr>
        <w:t xml:space="preserve">  </w:t>
      </w:r>
      <w:r w:rsidR="00E169A7" w:rsidRPr="00CB5015">
        <w:rPr>
          <w:rFonts w:ascii="Arial" w:hAnsi="Arial" w:cs="Arial"/>
          <w:lang w:eastAsia="en-US"/>
        </w:rPr>
        <w:t>May 12</w:t>
      </w:r>
      <w:r w:rsidR="00E169A7" w:rsidRPr="00CB5015">
        <w:rPr>
          <w:rFonts w:ascii="Arial" w:hAnsi="Arial" w:cs="Arial"/>
          <w:vertAlign w:val="superscript"/>
          <w:lang w:eastAsia="en-US"/>
        </w:rPr>
        <w:t>th</w:t>
      </w:r>
      <w:r w:rsidR="00E169A7" w:rsidRPr="00CB5015">
        <w:rPr>
          <w:rFonts w:ascii="Arial" w:hAnsi="Arial" w:cs="Arial"/>
          <w:lang w:eastAsia="en-US"/>
        </w:rPr>
        <w:t xml:space="preserve"> 2014</w:t>
      </w:r>
    </w:p>
    <w:sectPr w:rsidR="009E318A" w:rsidRPr="00CB5015" w:rsidSect="00A55570">
      <w:footerReference w:type="even" r:id="rId9"/>
      <w:footerReference w:type="default" r:id="rId10"/>
      <w:type w:val="continuous"/>
      <w:pgSz w:w="12240" w:h="15840"/>
      <w:pgMar w:top="89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54D15" w14:textId="77777777" w:rsidR="00E9159D" w:rsidRDefault="00E9159D">
      <w:r>
        <w:separator/>
      </w:r>
    </w:p>
  </w:endnote>
  <w:endnote w:type="continuationSeparator" w:id="0">
    <w:p w14:paraId="3E6AD69D" w14:textId="77777777" w:rsidR="00E9159D" w:rsidRDefault="00E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8C667" w14:textId="77777777"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E04591" w14:textId="77777777" w:rsidR="00E9159D" w:rsidRDefault="00E9159D" w:rsidP="00C855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AAE3" w14:textId="7D9BE62C" w:rsidR="00E9159D" w:rsidRDefault="00E9159D"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015">
      <w:rPr>
        <w:rStyle w:val="PageNumber"/>
        <w:noProof/>
      </w:rPr>
      <w:t>4</w:t>
    </w:r>
    <w:r>
      <w:rPr>
        <w:rStyle w:val="PageNumber"/>
      </w:rPr>
      <w:fldChar w:fldCharType="end"/>
    </w:r>
  </w:p>
  <w:p w14:paraId="4F12967D" w14:textId="77777777" w:rsidR="00E9159D" w:rsidRDefault="00E9159D" w:rsidP="00C855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8E16A" w14:textId="77777777" w:rsidR="00E9159D" w:rsidRDefault="00E9159D">
      <w:r>
        <w:separator/>
      </w:r>
    </w:p>
  </w:footnote>
  <w:footnote w:type="continuationSeparator" w:id="0">
    <w:p w14:paraId="17F9C821" w14:textId="77777777" w:rsidR="00E9159D" w:rsidRDefault="00E915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E8D1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06B7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6822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08B8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CC6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8EE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802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AC38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F08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7A7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825"/>
    <w:multiLevelType w:val="hybridMultilevel"/>
    <w:tmpl w:val="35F2151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1F7220"/>
    <w:multiLevelType w:val="hybridMultilevel"/>
    <w:tmpl w:val="E6C4AE4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0BC37678"/>
    <w:multiLevelType w:val="hybridMultilevel"/>
    <w:tmpl w:val="13F86E1A"/>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6D1FE5"/>
    <w:multiLevelType w:val="hybridMultilevel"/>
    <w:tmpl w:val="49966882"/>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E034AC"/>
    <w:multiLevelType w:val="hybridMultilevel"/>
    <w:tmpl w:val="94BA29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43D41"/>
    <w:multiLevelType w:val="hybridMultilevel"/>
    <w:tmpl w:val="7630B4A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22C64"/>
    <w:multiLevelType w:val="hybridMultilevel"/>
    <w:tmpl w:val="1724FF38"/>
    <w:lvl w:ilvl="0" w:tplc="10090001">
      <w:start w:val="1"/>
      <w:numFmt w:val="bullet"/>
      <w:lvlText w:val=""/>
      <w:lvlJc w:val="left"/>
      <w:pPr>
        <w:tabs>
          <w:tab w:val="num" w:pos="540"/>
        </w:tabs>
        <w:ind w:left="540" w:hanging="360"/>
      </w:pPr>
      <w:rPr>
        <w:rFonts w:ascii="Symbol" w:hAnsi="Symbol" w:hint="default"/>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430A1C0A"/>
    <w:multiLevelType w:val="hybridMultilevel"/>
    <w:tmpl w:val="1F0674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54354EE0"/>
    <w:multiLevelType w:val="hybridMultilevel"/>
    <w:tmpl w:val="6CA68E9E"/>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355E5"/>
    <w:multiLevelType w:val="hybridMultilevel"/>
    <w:tmpl w:val="DA1E6A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0C152F"/>
    <w:multiLevelType w:val="hybridMultilevel"/>
    <w:tmpl w:val="9EC8FB22"/>
    <w:lvl w:ilvl="0" w:tplc="D084D21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37087"/>
    <w:multiLevelType w:val="hybridMultilevel"/>
    <w:tmpl w:val="562A0F4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759C39A5"/>
    <w:multiLevelType w:val="hybridMultilevel"/>
    <w:tmpl w:val="FC502062"/>
    <w:lvl w:ilvl="0" w:tplc="1009000F">
      <w:start w:val="1"/>
      <w:numFmt w:val="decimal"/>
      <w:lvlText w:val="%1."/>
      <w:lvlJc w:val="left"/>
      <w:pPr>
        <w:tabs>
          <w:tab w:val="num" w:pos="360"/>
        </w:tabs>
        <w:ind w:left="360" w:hanging="360"/>
      </w:pPr>
      <w:rPr>
        <w:rFonts w:cs="Times New Roman"/>
      </w:rPr>
    </w:lvl>
    <w:lvl w:ilvl="1" w:tplc="8708B5C6">
      <w:start w:val="1"/>
      <w:numFmt w:val="lowerLetter"/>
      <w:lvlText w:val="%2."/>
      <w:lvlJc w:val="left"/>
      <w:pPr>
        <w:tabs>
          <w:tab w:val="num" w:pos="1440"/>
        </w:tabs>
        <w:ind w:left="1440" w:hanging="360"/>
      </w:pPr>
      <w:rPr>
        <w:rFonts w:cs="Times New Roman"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15:restartNumberingAfterBreak="0">
    <w:nsid w:val="7A4A3842"/>
    <w:multiLevelType w:val="hybridMultilevel"/>
    <w:tmpl w:val="520C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400BB0"/>
    <w:multiLevelType w:val="hybridMultilevel"/>
    <w:tmpl w:val="C64E1982"/>
    <w:lvl w:ilvl="0" w:tplc="1009000F">
      <w:start w:val="8"/>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num w:numId="1">
    <w:abstractNumId w:val="22"/>
  </w:num>
  <w:num w:numId="2">
    <w:abstractNumId w:val="16"/>
  </w:num>
  <w:num w:numId="3">
    <w:abstractNumId w:val="24"/>
  </w:num>
  <w:num w:numId="4">
    <w:abstractNumId w:val="19"/>
  </w:num>
  <w:num w:numId="5">
    <w:abstractNumId w:val="14"/>
  </w:num>
  <w:num w:numId="6">
    <w:abstractNumId w:val="10"/>
  </w:num>
  <w:num w:numId="7">
    <w:abstractNumId w:val="13"/>
  </w:num>
  <w:num w:numId="8">
    <w:abstractNumId w:val="17"/>
  </w:num>
  <w:num w:numId="9">
    <w:abstractNumId w:val="15"/>
  </w:num>
  <w:num w:numId="10">
    <w:abstractNumId w:val="12"/>
  </w:num>
  <w:num w:numId="11">
    <w:abstractNumId w:val="11"/>
  </w:num>
  <w:num w:numId="12">
    <w:abstractNumId w:val="21"/>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066E4"/>
    <w:rsid w:val="0001062F"/>
    <w:rsid w:val="00013687"/>
    <w:rsid w:val="0002306A"/>
    <w:rsid w:val="00023181"/>
    <w:rsid w:val="00023380"/>
    <w:rsid w:val="000259DE"/>
    <w:rsid w:val="0002747B"/>
    <w:rsid w:val="00027FAC"/>
    <w:rsid w:val="00031E1A"/>
    <w:rsid w:val="000322C4"/>
    <w:rsid w:val="00033089"/>
    <w:rsid w:val="00036561"/>
    <w:rsid w:val="000401CD"/>
    <w:rsid w:val="00042054"/>
    <w:rsid w:val="00044208"/>
    <w:rsid w:val="00045314"/>
    <w:rsid w:val="00047498"/>
    <w:rsid w:val="00050F43"/>
    <w:rsid w:val="00060372"/>
    <w:rsid w:val="000642C5"/>
    <w:rsid w:val="00071F36"/>
    <w:rsid w:val="000737AF"/>
    <w:rsid w:val="00074112"/>
    <w:rsid w:val="00076274"/>
    <w:rsid w:val="0007705F"/>
    <w:rsid w:val="00081C2E"/>
    <w:rsid w:val="00084501"/>
    <w:rsid w:val="000901D8"/>
    <w:rsid w:val="00091EC7"/>
    <w:rsid w:val="00092A8D"/>
    <w:rsid w:val="000938A6"/>
    <w:rsid w:val="000953B4"/>
    <w:rsid w:val="00096BF4"/>
    <w:rsid w:val="000A271D"/>
    <w:rsid w:val="000A4352"/>
    <w:rsid w:val="000B2601"/>
    <w:rsid w:val="000B42A8"/>
    <w:rsid w:val="000B5FE8"/>
    <w:rsid w:val="000B6821"/>
    <w:rsid w:val="000B68E1"/>
    <w:rsid w:val="000C2A1B"/>
    <w:rsid w:val="000C49BB"/>
    <w:rsid w:val="000C4BB1"/>
    <w:rsid w:val="000C561D"/>
    <w:rsid w:val="000C658F"/>
    <w:rsid w:val="000C6702"/>
    <w:rsid w:val="000D11AB"/>
    <w:rsid w:val="000D268A"/>
    <w:rsid w:val="000D2AF8"/>
    <w:rsid w:val="000D367F"/>
    <w:rsid w:val="000D3D6A"/>
    <w:rsid w:val="000E492D"/>
    <w:rsid w:val="000F25C9"/>
    <w:rsid w:val="000F6A3A"/>
    <w:rsid w:val="001004D3"/>
    <w:rsid w:val="001025CE"/>
    <w:rsid w:val="00111525"/>
    <w:rsid w:val="00114B82"/>
    <w:rsid w:val="001157DB"/>
    <w:rsid w:val="001177C2"/>
    <w:rsid w:val="00123D3F"/>
    <w:rsid w:val="00124EED"/>
    <w:rsid w:val="0012592F"/>
    <w:rsid w:val="00126FA5"/>
    <w:rsid w:val="0014126C"/>
    <w:rsid w:val="00141336"/>
    <w:rsid w:val="0014206C"/>
    <w:rsid w:val="0014423C"/>
    <w:rsid w:val="001524A6"/>
    <w:rsid w:val="00155A12"/>
    <w:rsid w:val="00155B85"/>
    <w:rsid w:val="001625BE"/>
    <w:rsid w:val="00164DEF"/>
    <w:rsid w:val="0016749F"/>
    <w:rsid w:val="0017200F"/>
    <w:rsid w:val="00173C82"/>
    <w:rsid w:val="00173FB6"/>
    <w:rsid w:val="00174D52"/>
    <w:rsid w:val="00175CBC"/>
    <w:rsid w:val="00177F7F"/>
    <w:rsid w:val="00186565"/>
    <w:rsid w:val="001A1BA8"/>
    <w:rsid w:val="001A25C5"/>
    <w:rsid w:val="001A47CC"/>
    <w:rsid w:val="001A5CC8"/>
    <w:rsid w:val="001A6A45"/>
    <w:rsid w:val="001B004F"/>
    <w:rsid w:val="001B0B5C"/>
    <w:rsid w:val="001B34E0"/>
    <w:rsid w:val="001B63DF"/>
    <w:rsid w:val="001C37AD"/>
    <w:rsid w:val="001C685E"/>
    <w:rsid w:val="001D013E"/>
    <w:rsid w:val="001D0FFD"/>
    <w:rsid w:val="001D6027"/>
    <w:rsid w:val="001D6FDD"/>
    <w:rsid w:val="001F25F9"/>
    <w:rsid w:val="001F3325"/>
    <w:rsid w:val="001F44AD"/>
    <w:rsid w:val="001F459C"/>
    <w:rsid w:val="001F5A93"/>
    <w:rsid w:val="001F655C"/>
    <w:rsid w:val="00200261"/>
    <w:rsid w:val="00203313"/>
    <w:rsid w:val="00211389"/>
    <w:rsid w:val="002121C0"/>
    <w:rsid w:val="00216164"/>
    <w:rsid w:val="002207B5"/>
    <w:rsid w:val="00223666"/>
    <w:rsid w:val="002243B7"/>
    <w:rsid w:val="002316C6"/>
    <w:rsid w:val="00234165"/>
    <w:rsid w:val="00240A74"/>
    <w:rsid w:val="00243F5B"/>
    <w:rsid w:val="00250B54"/>
    <w:rsid w:val="00254E1E"/>
    <w:rsid w:val="0025517C"/>
    <w:rsid w:val="00255970"/>
    <w:rsid w:val="00257FC4"/>
    <w:rsid w:val="0026502A"/>
    <w:rsid w:val="00266472"/>
    <w:rsid w:val="00266669"/>
    <w:rsid w:val="002712BF"/>
    <w:rsid w:val="00271399"/>
    <w:rsid w:val="00273242"/>
    <w:rsid w:val="00276528"/>
    <w:rsid w:val="002839C9"/>
    <w:rsid w:val="002866F9"/>
    <w:rsid w:val="00291CEB"/>
    <w:rsid w:val="00292649"/>
    <w:rsid w:val="0029516A"/>
    <w:rsid w:val="00295F48"/>
    <w:rsid w:val="002A02F2"/>
    <w:rsid w:val="002A0445"/>
    <w:rsid w:val="002A16AA"/>
    <w:rsid w:val="002A4127"/>
    <w:rsid w:val="002A71F0"/>
    <w:rsid w:val="002A748B"/>
    <w:rsid w:val="002B152D"/>
    <w:rsid w:val="002B196B"/>
    <w:rsid w:val="002B1DDA"/>
    <w:rsid w:val="002B208A"/>
    <w:rsid w:val="002B4EF8"/>
    <w:rsid w:val="002B7476"/>
    <w:rsid w:val="002C423F"/>
    <w:rsid w:val="002C53D6"/>
    <w:rsid w:val="002D2EA5"/>
    <w:rsid w:val="002D5B6E"/>
    <w:rsid w:val="002E025E"/>
    <w:rsid w:val="002E2753"/>
    <w:rsid w:val="002E7719"/>
    <w:rsid w:val="002F1387"/>
    <w:rsid w:val="002F322A"/>
    <w:rsid w:val="0030171F"/>
    <w:rsid w:val="00301F4A"/>
    <w:rsid w:val="00307286"/>
    <w:rsid w:val="00315ED1"/>
    <w:rsid w:val="003176F8"/>
    <w:rsid w:val="00317AFA"/>
    <w:rsid w:val="0032022B"/>
    <w:rsid w:val="00322684"/>
    <w:rsid w:val="00322E3E"/>
    <w:rsid w:val="003238EE"/>
    <w:rsid w:val="00323B06"/>
    <w:rsid w:val="00325DB0"/>
    <w:rsid w:val="003309B5"/>
    <w:rsid w:val="00334FBF"/>
    <w:rsid w:val="00336E36"/>
    <w:rsid w:val="00350737"/>
    <w:rsid w:val="003758D5"/>
    <w:rsid w:val="003774E3"/>
    <w:rsid w:val="0038115F"/>
    <w:rsid w:val="00382BDD"/>
    <w:rsid w:val="0039236C"/>
    <w:rsid w:val="0039496A"/>
    <w:rsid w:val="003975DD"/>
    <w:rsid w:val="003A10B7"/>
    <w:rsid w:val="003A33D3"/>
    <w:rsid w:val="003A48B3"/>
    <w:rsid w:val="003A7BFE"/>
    <w:rsid w:val="003B0EBB"/>
    <w:rsid w:val="003B2FBD"/>
    <w:rsid w:val="003B3F3D"/>
    <w:rsid w:val="003C5C94"/>
    <w:rsid w:val="003D1670"/>
    <w:rsid w:val="003D1C43"/>
    <w:rsid w:val="003E2AA8"/>
    <w:rsid w:val="003E427C"/>
    <w:rsid w:val="003E48EC"/>
    <w:rsid w:val="003E4F90"/>
    <w:rsid w:val="003E6548"/>
    <w:rsid w:val="003E727C"/>
    <w:rsid w:val="003E75C5"/>
    <w:rsid w:val="003F6C6F"/>
    <w:rsid w:val="003F75CA"/>
    <w:rsid w:val="004002FC"/>
    <w:rsid w:val="004010E7"/>
    <w:rsid w:val="00401CF8"/>
    <w:rsid w:val="004050A2"/>
    <w:rsid w:val="00410F81"/>
    <w:rsid w:val="00412B66"/>
    <w:rsid w:val="004165E9"/>
    <w:rsid w:val="00424814"/>
    <w:rsid w:val="00425AAB"/>
    <w:rsid w:val="0043068F"/>
    <w:rsid w:val="00431616"/>
    <w:rsid w:val="004345BF"/>
    <w:rsid w:val="00434F4D"/>
    <w:rsid w:val="00436B1C"/>
    <w:rsid w:val="00440B56"/>
    <w:rsid w:val="0044111A"/>
    <w:rsid w:val="00446672"/>
    <w:rsid w:val="00447B6F"/>
    <w:rsid w:val="00453142"/>
    <w:rsid w:val="00456ABC"/>
    <w:rsid w:val="00457313"/>
    <w:rsid w:val="00460A82"/>
    <w:rsid w:val="00465F99"/>
    <w:rsid w:val="00470C2E"/>
    <w:rsid w:val="0047686C"/>
    <w:rsid w:val="00480EED"/>
    <w:rsid w:val="00483DD9"/>
    <w:rsid w:val="00484359"/>
    <w:rsid w:val="00486384"/>
    <w:rsid w:val="00496878"/>
    <w:rsid w:val="004A4CEC"/>
    <w:rsid w:val="004A5D7A"/>
    <w:rsid w:val="004A5DC7"/>
    <w:rsid w:val="004A6D7E"/>
    <w:rsid w:val="004B7B44"/>
    <w:rsid w:val="004C08EF"/>
    <w:rsid w:val="004C4F6F"/>
    <w:rsid w:val="004C5621"/>
    <w:rsid w:val="004D78B9"/>
    <w:rsid w:val="004E5FA5"/>
    <w:rsid w:val="004E604A"/>
    <w:rsid w:val="004E71EB"/>
    <w:rsid w:val="004F6EAC"/>
    <w:rsid w:val="00501D8D"/>
    <w:rsid w:val="0050315F"/>
    <w:rsid w:val="00512174"/>
    <w:rsid w:val="005159D1"/>
    <w:rsid w:val="00524498"/>
    <w:rsid w:val="00524EBD"/>
    <w:rsid w:val="00525266"/>
    <w:rsid w:val="0053101C"/>
    <w:rsid w:val="0053796C"/>
    <w:rsid w:val="0054061D"/>
    <w:rsid w:val="00544DC8"/>
    <w:rsid w:val="00545EA8"/>
    <w:rsid w:val="00555990"/>
    <w:rsid w:val="00560669"/>
    <w:rsid w:val="00560B27"/>
    <w:rsid w:val="005707C2"/>
    <w:rsid w:val="00572BC7"/>
    <w:rsid w:val="00575DF9"/>
    <w:rsid w:val="00581B07"/>
    <w:rsid w:val="0058308A"/>
    <w:rsid w:val="00584C9A"/>
    <w:rsid w:val="0058524B"/>
    <w:rsid w:val="00586D2F"/>
    <w:rsid w:val="00590444"/>
    <w:rsid w:val="00592831"/>
    <w:rsid w:val="00593FA1"/>
    <w:rsid w:val="0059667F"/>
    <w:rsid w:val="005A15F3"/>
    <w:rsid w:val="005A2701"/>
    <w:rsid w:val="005A48D2"/>
    <w:rsid w:val="005B158F"/>
    <w:rsid w:val="005B3426"/>
    <w:rsid w:val="005B400D"/>
    <w:rsid w:val="005B57D0"/>
    <w:rsid w:val="005C2723"/>
    <w:rsid w:val="005C3624"/>
    <w:rsid w:val="005C3B84"/>
    <w:rsid w:val="005D02A9"/>
    <w:rsid w:val="005D614A"/>
    <w:rsid w:val="005E3F27"/>
    <w:rsid w:val="005E5519"/>
    <w:rsid w:val="005F39B7"/>
    <w:rsid w:val="005F6D2D"/>
    <w:rsid w:val="00602B18"/>
    <w:rsid w:val="00605AB8"/>
    <w:rsid w:val="00612E70"/>
    <w:rsid w:val="006137A3"/>
    <w:rsid w:val="00621A47"/>
    <w:rsid w:val="0063406D"/>
    <w:rsid w:val="006368EA"/>
    <w:rsid w:val="0064173D"/>
    <w:rsid w:val="00643999"/>
    <w:rsid w:val="00644B4C"/>
    <w:rsid w:val="00652B37"/>
    <w:rsid w:val="00657188"/>
    <w:rsid w:val="006574C9"/>
    <w:rsid w:val="00661506"/>
    <w:rsid w:val="0066465F"/>
    <w:rsid w:val="00666A70"/>
    <w:rsid w:val="00673A67"/>
    <w:rsid w:val="00674977"/>
    <w:rsid w:val="006759C0"/>
    <w:rsid w:val="00682F44"/>
    <w:rsid w:val="006836F2"/>
    <w:rsid w:val="00684DEF"/>
    <w:rsid w:val="006852DB"/>
    <w:rsid w:val="00686A23"/>
    <w:rsid w:val="0068771A"/>
    <w:rsid w:val="00693DD7"/>
    <w:rsid w:val="00693F3B"/>
    <w:rsid w:val="006A50A7"/>
    <w:rsid w:val="006A65F8"/>
    <w:rsid w:val="006B0173"/>
    <w:rsid w:val="006B5644"/>
    <w:rsid w:val="006B7B04"/>
    <w:rsid w:val="006C2D07"/>
    <w:rsid w:val="006C5100"/>
    <w:rsid w:val="006C5676"/>
    <w:rsid w:val="006D1E37"/>
    <w:rsid w:val="006D2E97"/>
    <w:rsid w:val="006D2F7E"/>
    <w:rsid w:val="006F0762"/>
    <w:rsid w:val="006F0F4B"/>
    <w:rsid w:val="00700339"/>
    <w:rsid w:val="00703905"/>
    <w:rsid w:val="00704E71"/>
    <w:rsid w:val="00710607"/>
    <w:rsid w:val="007122B7"/>
    <w:rsid w:val="00713DD1"/>
    <w:rsid w:val="0071701B"/>
    <w:rsid w:val="00720E61"/>
    <w:rsid w:val="007259BA"/>
    <w:rsid w:val="00726869"/>
    <w:rsid w:val="007269AB"/>
    <w:rsid w:val="007307B1"/>
    <w:rsid w:val="007346EF"/>
    <w:rsid w:val="00736E40"/>
    <w:rsid w:val="007411A9"/>
    <w:rsid w:val="00741698"/>
    <w:rsid w:val="00742186"/>
    <w:rsid w:val="00746D27"/>
    <w:rsid w:val="00747ADD"/>
    <w:rsid w:val="007723B5"/>
    <w:rsid w:val="00774808"/>
    <w:rsid w:val="0078351F"/>
    <w:rsid w:val="00784E74"/>
    <w:rsid w:val="00785D6F"/>
    <w:rsid w:val="00791116"/>
    <w:rsid w:val="00791875"/>
    <w:rsid w:val="00791DE2"/>
    <w:rsid w:val="0079281E"/>
    <w:rsid w:val="0079644C"/>
    <w:rsid w:val="007A2BA1"/>
    <w:rsid w:val="007A4EFD"/>
    <w:rsid w:val="007A54CF"/>
    <w:rsid w:val="007A5F55"/>
    <w:rsid w:val="007A602B"/>
    <w:rsid w:val="007B1B13"/>
    <w:rsid w:val="007B2BE8"/>
    <w:rsid w:val="007B3A0C"/>
    <w:rsid w:val="007B5AC7"/>
    <w:rsid w:val="007B7298"/>
    <w:rsid w:val="007C733D"/>
    <w:rsid w:val="007D2817"/>
    <w:rsid w:val="007D7A1E"/>
    <w:rsid w:val="007E2B36"/>
    <w:rsid w:val="007E489E"/>
    <w:rsid w:val="007F07CE"/>
    <w:rsid w:val="007F0899"/>
    <w:rsid w:val="007F23A4"/>
    <w:rsid w:val="008062D1"/>
    <w:rsid w:val="00807B4E"/>
    <w:rsid w:val="00810F18"/>
    <w:rsid w:val="00811EAF"/>
    <w:rsid w:val="00812040"/>
    <w:rsid w:val="00816DBF"/>
    <w:rsid w:val="00822B7F"/>
    <w:rsid w:val="00826BED"/>
    <w:rsid w:val="00827311"/>
    <w:rsid w:val="00830ADC"/>
    <w:rsid w:val="00835982"/>
    <w:rsid w:val="00836F4A"/>
    <w:rsid w:val="0084323F"/>
    <w:rsid w:val="0084450A"/>
    <w:rsid w:val="00851C22"/>
    <w:rsid w:val="0085406F"/>
    <w:rsid w:val="00857CB9"/>
    <w:rsid w:val="0086553F"/>
    <w:rsid w:val="00867D99"/>
    <w:rsid w:val="00867E26"/>
    <w:rsid w:val="00871307"/>
    <w:rsid w:val="00873410"/>
    <w:rsid w:val="00874073"/>
    <w:rsid w:val="00881D47"/>
    <w:rsid w:val="008853A1"/>
    <w:rsid w:val="00892032"/>
    <w:rsid w:val="0089249E"/>
    <w:rsid w:val="00895725"/>
    <w:rsid w:val="008A116A"/>
    <w:rsid w:val="008A38A3"/>
    <w:rsid w:val="008A698D"/>
    <w:rsid w:val="008A6C38"/>
    <w:rsid w:val="008A6F1A"/>
    <w:rsid w:val="008B445D"/>
    <w:rsid w:val="008B64A8"/>
    <w:rsid w:val="008B7A38"/>
    <w:rsid w:val="008C1EF7"/>
    <w:rsid w:val="008C322D"/>
    <w:rsid w:val="008D0F72"/>
    <w:rsid w:val="008D147F"/>
    <w:rsid w:val="008D3B41"/>
    <w:rsid w:val="008D5560"/>
    <w:rsid w:val="008D64F4"/>
    <w:rsid w:val="008E12A4"/>
    <w:rsid w:val="008E17DC"/>
    <w:rsid w:val="008E2ACE"/>
    <w:rsid w:val="008E64FF"/>
    <w:rsid w:val="008E70BD"/>
    <w:rsid w:val="008E72BC"/>
    <w:rsid w:val="008F1A2A"/>
    <w:rsid w:val="008F2EF3"/>
    <w:rsid w:val="008F56F7"/>
    <w:rsid w:val="008F697A"/>
    <w:rsid w:val="00901C6A"/>
    <w:rsid w:val="009061A8"/>
    <w:rsid w:val="00907782"/>
    <w:rsid w:val="00911270"/>
    <w:rsid w:val="00911C03"/>
    <w:rsid w:val="00911C77"/>
    <w:rsid w:val="00912C5A"/>
    <w:rsid w:val="00914923"/>
    <w:rsid w:val="009211B1"/>
    <w:rsid w:val="00922055"/>
    <w:rsid w:val="00922E4D"/>
    <w:rsid w:val="00923927"/>
    <w:rsid w:val="00933549"/>
    <w:rsid w:val="0093669D"/>
    <w:rsid w:val="0094022E"/>
    <w:rsid w:val="009416F9"/>
    <w:rsid w:val="00942EF5"/>
    <w:rsid w:val="00947274"/>
    <w:rsid w:val="00947417"/>
    <w:rsid w:val="0095073F"/>
    <w:rsid w:val="00953379"/>
    <w:rsid w:val="009645C0"/>
    <w:rsid w:val="00964C7C"/>
    <w:rsid w:val="00970105"/>
    <w:rsid w:val="00971ABD"/>
    <w:rsid w:val="00975E7B"/>
    <w:rsid w:val="00976104"/>
    <w:rsid w:val="00976314"/>
    <w:rsid w:val="00976771"/>
    <w:rsid w:val="00977288"/>
    <w:rsid w:val="009773DC"/>
    <w:rsid w:val="00981046"/>
    <w:rsid w:val="009875E2"/>
    <w:rsid w:val="00987AD6"/>
    <w:rsid w:val="009907AF"/>
    <w:rsid w:val="00993A09"/>
    <w:rsid w:val="009B0812"/>
    <w:rsid w:val="009B1BC0"/>
    <w:rsid w:val="009B71C5"/>
    <w:rsid w:val="009C3DE5"/>
    <w:rsid w:val="009C5203"/>
    <w:rsid w:val="009C7779"/>
    <w:rsid w:val="009D1958"/>
    <w:rsid w:val="009D324E"/>
    <w:rsid w:val="009D67CE"/>
    <w:rsid w:val="009E318A"/>
    <w:rsid w:val="009F0D6A"/>
    <w:rsid w:val="009F1C09"/>
    <w:rsid w:val="009F2EA7"/>
    <w:rsid w:val="00A052CA"/>
    <w:rsid w:val="00A05968"/>
    <w:rsid w:val="00A10C06"/>
    <w:rsid w:val="00A111DD"/>
    <w:rsid w:val="00A13899"/>
    <w:rsid w:val="00A14206"/>
    <w:rsid w:val="00A22D75"/>
    <w:rsid w:val="00A24A72"/>
    <w:rsid w:val="00A27B75"/>
    <w:rsid w:val="00A27D73"/>
    <w:rsid w:val="00A305D2"/>
    <w:rsid w:val="00A361F3"/>
    <w:rsid w:val="00A423D5"/>
    <w:rsid w:val="00A43EBA"/>
    <w:rsid w:val="00A50584"/>
    <w:rsid w:val="00A5260C"/>
    <w:rsid w:val="00A54C02"/>
    <w:rsid w:val="00A55570"/>
    <w:rsid w:val="00A5640E"/>
    <w:rsid w:val="00A600A1"/>
    <w:rsid w:val="00A63A54"/>
    <w:rsid w:val="00A70B31"/>
    <w:rsid w:val="00A72E3B"/>
    <w:rsid w:val="00A746DB"/>
    <w:rsid w:val="00A74A15"/>
    <w:rsid w:val="00A87C9A"/>
    <w:rsid w:val="00AA730F"/>
    <w:rsid w:val="00AB100B"/>
    <w:rsid w:val="00AB6425"/>
    <w:rsid w:val="00AC5AD4"/>
    <w:rsid w:val="00AC77D0"/>
    <w:rsid w:val="00AC78EC"/>
    <w:rsid w:val="00AC7BE6"/>
    <w:rsid w:val="00AD08F9"/>
    <w:rsid w:val="00AD0AB0"/>
    <w:rsid w:val="00AD0D98"/>
    <w:rsid w:val="00AD1AA9"/>
    <w:rsid w:val="00AD68CB"/>
    <w:rsid w:val="00AD7A66"/>
    <w:rsid w:val="00AD7AD7"/>
    <w:rsid w:val="00AE1061"/>
    <w:rsid w:val="00AE2E06"/>
    <w:rsid w:val="00AE5662"/>
    <w:rsid w:val="00AE5B51"/>
    <w:rsid w:val="00AE5CF3"/>
    <w:rsid w:val="00AF0014"/>
    <w:rsid w:val="00AF25F5"/>
    <w:rsid w:val="00AF32AD"/>
    <w:rsid w:val="00AF4DDE"/>
    <w:rsid w:val="00AF5289"/>
    <w:rsid w:val="00B0119B"/>
    <w:rsid w:val="00B025B5"/>
    <w:rsid w:val="00B03F11"/>
    <w:rsid w:val="00B11DCC"/>
    <w:rsid w:val="00B134DC"/>
    <w:rsid w:val="00B13778"/>
    <w:rsid w:val="00B16AC5"/>
    <w:rsid w:val="00B16AF8"/>
    <w:rsid w:val="00B2338C"/>
    <w:rsid w:val="00B24DBA"/>
    <w:rsid w:val="00B307AA"/>
    <w:rsid w:val="00B349C3"/>
    <w:rsid w:val="00B36A82"/>
    <w:rsid w:val="00B42532"/>
    <w:rsid w:val="00B4300B"/>
    <w:rsid w:val="00B441CF"/>
    <w:rsid w:val="00B4665C"/>
    <w:rsid w:val="00B50486"/>
    <w:rsid w:val="00B51478"/>
    <w:rsid w:val="00B56E10"/>
    <w:rsid w:val="00B6144B"/>
    <w:rsid w:val="00B649B0"/>
    <w:rsid w:val="00B64B39"/>
    <w:rsid w:val="00B71B5F"/>
    <w:rsid w:val="00B80F45"/>
    <w:rsid w:val="00B81747"/>
    <w:rsid w:val="00B83BB6"/>
    <w:rsid w:val="00B84E0B"/>
    <w:rsid w:val="00B96C8C"/>
    <w:rsid w:val="00B97434"/>
    <w:rsid w:val="00BA44BE"/>
    <w:rsid w:val="00BA53E8"/>
    <w:rsid w:val="00BA6D7A"/>
    <w:rsid w:val="00BA6DFE"/>
    <w:rsid w:val="00BA7E9D"/>
    <w:rsid w:val="00BB1222"/>
    <w:rsid w:val="00BB19CD"/>
    <w:rsid w:val="00BC13F6"/>
    <w:rsid w:val="00BC3BAB"/>
    <w:rsid w:val="00BC3D75"/>
    <w:rsid w:val="00BC6455"/>
    <w:rsid w:val="00BD1316"/>
    <w:rsid w:val="00BD2FD2"/>
    <w:rsid w:val="00BE3807"/>
    <w:rsid w:val="00BE7A7C"/>
    <w:rsid w:val="00BF065C"/>
    <w:rsid w:val="00BF67C7"/>
    <w:rsid w:val="00BF7BE3"/>
    <w:rsid w:val="00C015D0"/>
    <w:rsid w:val="00C01649"/>
    <w:rsid w:val="00C039EF"/>
    <w:rsid w:val="00C05EC2"/>
    <w:rsid w:val="00C07742"/>
    <w:rsid w:val="00C1067B"/>
    <w:rsid w:val="00C11AF9"/>
    <w:rsid w:val="00C13555"/>
    <w:rsid w:val="00C13FC5"/>
    <w:rsid w:val="00C15D76"/>
    <w:rsid w:val="00C22A29"/>
    <w:rsid w:val="00C22D02"/>
    <w:rsid w:val="00C24260"/>
    <w:rsid w:val="00C33540"/>
    <w:rsid w:val="00C33687"/>
    <w:rsid w:val="00C368A4"/>
    <w:rsid w:val="00C378DA"/>
    <w:rsid w:val="00C37E1D"/>
    <w:rsid w:val="00C41783"/>
    <w:rsid w:val="00C47D04"/>
    <w:rsid w:val="00C507C1"/>
    <w:rsid w:val="00C53955"/>
    <w:rsid w:val="00C53AAE"/>
    <w:rsid w:val="00C55C6A"/>
    <w:rsid w:val="00C56DFF"/>
    <w:rsid w:val="00C56F3B"/>
    <w:rsid w:val="00C60A2B"/>
    <w:rsid w:val="00C64A19"/>
    <w:rsid w:val="00C65475"/>
    <w:rsid w:val="00C66229"/>
    <w:rsid w:val="00C7101F"/>
    <w:rsid w:val="00C71330"/>
    <w:rsid w:val="00C7430F"/>
    <w:rsid w:val="00C810DA"/>
    <w:rsid w:val="00C85543"/>
    <w:rsid w:val="00C902E5"/>
    <w:rsid w:val="00C97EA3"/>
    <w:rsid w:val="00CA06B9"/>
    <w:rsid w:val="00CA2C0C"/>
    <w:rsid w:val="00CB035A"/>
    <w:rsid w:val="00CB0EF6"/>
    <w:rsid w:val="00CB1EC1"/>
    <w:rsid w:val="00CB292D"/>
    <w:rsid w:val="00CB2A21"/>
    <w:rsid w:val="00CB5015"/>
    <w:rsid w:val="00CB59C2"/>
    <w:rsid w:val="00CB6941"/>
    <w:rsid w:val="00CC0761"/>
    <w:rsid w:val="00CC07AA"/>
    <w:rsid w:val="00CC39C8"/>
    <w:rsid w:val="00CC6097"/>
    <w:rsid w:val="00CD1F2F"/>
    <w:rsid w:val="00CD556F"/>
    <w:rsid w:val="00CE7927"/>
    <w:rsid w:val="00CF204E"/>
    <w:rsid w:val="00CF2C2D"/>
    <w:rsid w:val="00CF4167"/>
    <w:rsid w:val="00D017D3"/>
    <w:rsid w:val="00D01E5A"/>
    <w:rsid w:val="00D0201E"/>
    <w:rsid w:val="00D027D2"/>
    <w:rsid w:val="00D02D3F"/>
    <w:rsid w:val="00D02F78"/>
    <w:rsid w:val="00D1153C"/>
    <w:rsid w:val="00D13BAC"/>
    <w:rsid w:val="00D2317A"/>
    <w:rsid w:val="00D26F6C"/>
    <w:rsid w:val="00D337C4"/>
    <w:rsid w:val="00D36CD1"/>
    <w:rsid w:val="00D429F0"/>
    <w:rsid w:val="00D4473B"/>
    <w:rsid w:val="00D518E9"/>
    <w:rsid w:val="00D61F45"/>
    <w:rsid w:val="00D624D3"/>
    <w:rsid w:val="00D62C0D"/>
    <w:rsid w:val="00D630C8"/>
    <w:rsid w:val="00D65293"/>
    <w:rsid w:val="00D67FAF"/>
    <w:rsid w:val="00D72534"/>
    <w:rsid w:val="00D74A30"/>
    <w:rsid w:val="00D84289"/>
    <w:rsid w:val="00D86412"/>
    <w:rsid w:val="00D95E22"/>
    <w:rsid w:val="00DA20F8"/>
    <w:rsid w:val="00DA5296"/>
    <w:rsid w:val="00DB0ECC"/>
    <w:rsid w:val="00DB12A8"/>
    <w:rsid w:val="00DB2CD4"/>
    <w:rsid w:val="00DB5162"/>
    <w:rsid w:val="00DC1669"/>
    <w:rsid w:val="00DC1732"/>
    <w:rsid w:val="00DC3B6F"/>
    <w:rsid w:val="00DC60F5"/>
    <w:rsid w:val="00DC75A2"/>
    <w:rsid w:val="00DD13CA"/>
    <w:rsid w:val="00DD18F5"/>
    <w:rsid w:val="00DD1F58"/>
    <w:rsid w:val="00DD51B1"/>
    <w:rsid w:val="00DD6405"/>
    <w:rsid w:val="00DD7EAB"/>
    <w:rsid w:val="00DE3FBC"/>
    <w:rsid w:val="00DE7036"/>
    <w:rsid w:val="00DF032C"/>
    <w:rsid w:val="00DF072A"/>
    <w:rsid w:val="00DF45D9"/>
    <w:rsid w:val="00DF515F"/>
    <w:rsid w:val="00DF7217"/>
    <w:rsid w:val="00E0151F"/>
    <w:rsid w:val="00E0749C"/>
    <w:rsid w:val="00E10337"/>
    <w:rsid w:val="00E13CB5"/>
    <w:rsid w:val="00E15F5D"/>
    <w:rsid w:val="00E1655A"/>
    <w:rsid w:val="00E169A7"/>
    <w:rsid w:val="00E233EA"/>
    <w:rsid w:val="00E26A9E"/>
    <w:rsid w:val="00E374B1"/>
    <w:rsid w:val="00E375FA"/>
    <w:rsid w:val="00E37865"/>
    <w:rsid w:val="00E37C09"/>
    <w:rsid w:val="00E4163B"/>
    <w:rsid w:val="00E41BC9"/>
    <w:rsid w:val="00E42B75"/>
    <w:rsid w:val="00E50051"/>
    <w:rsid w:val="00E548FE"/>
    <w:rsid w:val="00E5677D"/>
    <w:rsid w:val="00E56FB8"/>
    <w:rsid w:val="00E57787"/>
    <w:rsid w:val="00E601FE"/>
    <w:rsid w:val="00E6125F"/>
    <w:rsid w:val="00E67906"/>
    <w:rsid w:val="00E70126"/>
    <w:rsid w:val="00E73DC4"/>
    <w:rsid w:val="00E745BB"/>
    <w:rsid w:val="00E74D6D"/>
    <w:rsid w:val="00E74FBE"/>
    <w:rsid w:val="00E77C8E"/>
    <w:rsid w:val="00E80986"/>
    <w:rsid w:val="00E80E4E"/>
    <w:rsid w:val="00E902C2"/>
    <w:rsid w:val="00E9159D"/>
    <w:rsid w:val="00E929B0"/>
    <w:rsid w:val="00E95C07"/>
    <w:rsid w:val="00E95D78"/>
    <w:rsid w:val="00EA1F98"/>
    <w:rsid w:val="00EA75FB"/>
    <w:rsid w:val="00EB0794"/>
    <w:rsid w:val="00EB0BB2"/>
    <w:rsid w:val="00EB0E2C"/>
    <w:rsid w:val="00EB1EBC"/>
    <w:rsid w:val="00EB1F18"/>
    <w:rsid w:val="00EB701F"/>
    <w:rsid w:val="00EC30F8"/>
    <w:rsid w:val="00EC38B3"/>
    <w:rsid w:val="00EC3BFE"/>
    <w:rsid w:val="00ED4E8F"/>
    <w:rsid w:val="00ED5B6E"/>
    <w:rsid w:val="00ED745F"/>
    <w:rsid w:val="00EE1734"/>
    <w:rsid w:val="00EE1DD1"/>
    <w:rsid w:val="00EE2C87"/>
    <w:rsid w:val="00EE40D7"/>
    <w:rsid w:val="00EE5184"/>
    <w:rsid w:val="00EF4E39"/>
    <w:rsid w:val="00EF5D7B"/>
    <w:rsid w:val="00F0242B"/>
    <w:rsid w:val="00F02E03"/>
    <w:rsid w:val="00F03ECC"/>
    <w:rsid w:val="00F04243"/>
    <w:rsid w:val="00F055D7"/>
    <w:rsid w:val="00F11C27"/>
    <w:rsid w:val="00F13AC9"/>
    <w:rsid w:val="00F2773B"/>
    <w:rsid w:val="00F31AD4"/>
    <w:rsid w:val="00F31C92"/>
    <w:rsid w:val="00F3351E"/>
    <w:rsid w:val="00F3520F"/>
    <w:rsid w:val="00F361F1"/>
    <w:rsid w:val="00F40774"/>
    <w:rsid w:val="00F42BFA"/>
    <w:rsid w:val="00F43BFB"/>
    <w:rsid w:val="00F449FD"/>
    <w:rsid w:val="00F45643"/>
    <w:rsid w:val="00F51B08"/>
    <w:rsid w:val="00F52B2C"/>
    <w:rsid w:val="00F6068F"/>
    <w:rsid w:val="00F627B2"/>
    <w:rsid w:val="00F67638"/>
    <w:rsid w:val="00F7194C"/>
    <w:rsid w:val="00F7762C"/>
    <w:rsid w:val="00F8033E"/>
    <w:rsid w:val="00F83B61"/>
    <w:rsid w:val="00F858B8"/>
    <w:rsid w:val="00F875C8"/>
    <w:rsid w:val="00F877F5"/>
    <w:rsid w:val="00F9091E"/>
    <w:rsid w:val="00F90FE0"/>
    <w:rsid w:val="00FA31BB"/>
    <w:rsid w:val="00FA71F5"/>
    <w:rsid w:val="00FB0A68"/>
    <w:rsid w:val="00FB1F9B"/>
    <w:rsid w:val="00FB52D9"/>
    <w:rsid w:val="00FC2838"/>
    <w:rsid w:val="00FD0A4F"/>
    <w:rsid w:val="00FD1288"/>
    <w:rsid w:val="00FD4FF9"/>
    <w:rsid w:val="00FD500D"/>
    <w:rsid w:val="00FD54BD"/>
    <w:rsid w:val="00FD5D51"/>
    <w:rsid w:val="00FE0935"/>
    <w:rsid w:val="00FE1E11"/>
    <w:rsid w:val="00FE5402"/>
    <w:rsid w:val="00FE74E7"/>
    <w:rsid w:val="00FF334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A5B0A"/>
  <w15:docId w15:val="{1720B331-FB47-44F5-98E4-C804AD5C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1F"/>
    <w:rPr>
      <w:sz w:val="24"/>
      <w:szCs w:val="24"/>
    </w:rPr>
  </w:style>
  <w:style w:type="paragraph" w:styleId="Heading1">
    <w:name w:val="heading 1"/>
    <w:basedOn w:val="Normal"/>
    <w:next w:val="Normal"/>
    <w:link w:val="Heading1Char"/>
    <w:uiPriority w:val="99"/>
    <w:qFormat/>
    <w:rsid w:val="00CC39C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C710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CB501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39C8"/>
    <w:rPr>
      <w:rFonts w:ascii="Cambria" w:hAnsi="Cambria" w:cs="Times New Roman"/>
      <w:b/>
      <w:kern w:val="32"/>
      <w:sz w:val="32"/>
    </w:rPr>
  </w:style>
  <w:style w:type="paragraph" w:styleId="Footer">
    <w:name w:val="footer"/>
    <w:basedOn w:val="Normal"/>
    <w:link w:val="FooterChar"/>
    <w:uiPriority w:val="99"/>
    <w:rsid w:val="00C85543"/>
    <w:pPr>
      <w:tabs>
        <w:tab w:val="center" w:pos="4320"/>
        <w:tab w:val="right" w:pos="8640"/>
      </w:tabs>
    </w:pPr>
  </w:style>
  <w:style w:type="character" w:customStyle="1" w:styleId="FooterChar">
    <w:name w:val="Footer Char"/>
    <w:basedOn w:val="DefaultParagraphFont"/>
    <w:link w:val="Footer"/>
    <w:uiPriority w:val="99"/>
    <w:semiHidden/>
    <w:locked/>
    <w:rsid w:val="00D02F78"/>
    <w:rPr>
      <w:rFonts w:cs="Times New Roman"/>
      <w:sz w:val="24"/>
      <w:szCs w:val="24"/>
    </w:rPr>
  </w:style>
  <w:style w:type="character" w:styleId="PageNumber">
    <w:name w:val="page number"/>
    <w:basedOn w:val="DefaultParagraphFont"/>
    <w:uiPriority w:val="99"/>
    <w:rsid w:val="00C85543"/>
    <w:rPr>
      <w:rFonts w:cs="Times New Roman"/>
    </w:rPr>
  </w:style>
  <w:style w:type="paragraph" w:styleId="NormalWeb">
    <w:name w:val="Normal (Web)"/>
    <w:basedOn w:val="Normal"/>
    <w:uiPriority w:val="99"/>
    <w:rsid w:val="00BC13F6"/>
    <w:pPr>
      <w:spacing w:after="270" w:line="396" w:lineRule="atLeast"/>
    </w:pPr>
    <w:rPr>
      <w:lang w:val="en-US" w:eastAsia="en-US"/>
    </w:rPr>
  </w:style>
  <w:style w:type="character" w:customStyle="1" w:styleId="apple-style-span">
    <w:name w:val="apple-style-span"/>
    <w:basedOn w:val="DefaultParagraphFont"/>
    <w:uiPriority w:val="99"/>
    <w:rsid w:val="007A54CF"/>
    <w:rPr>
      <w:rFonts w:cs="Times New Roman"/>
    </w:rPr>
  </w:style>
  <w:style w:type="character" w:customStyle="1" w:styleId="style61">
    <w:name w:val="style61"/>
    <w:uiPriority w:val="99"/>
    <w:rsid w:val="001C685E"/>
    <w:rPr>
      <w:b/>
      <w:sz w:val="17"/>
    </w:rPr>
  </w:style>
  <w:style w:type="paragraph" w:styleId="BalloonText">
    <w:name w:val="Balloon Text"/>
    <w:basedOn w:val="Normal"/>
    <w:link w:val="BalloonTextChar"/>
    <w:uiPriority w:val="99"/>
    <w:semiHidden/>
    <w:rsid w:val="00E902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F78"/>
    <w:rPr>
      <w:rFonts w:cs="Times New Roman"/>
      <w:sz w:val="2"/>
    </w:rPr>
  </w:style>
  <w:style w:type="character" w:styleId="Emphasis">
    <w:name w:val="Emphasis"/>
    <w:basedOn w:val="DefaultParagraphFont"/>
    <w:uiPriority w:val="99"/>
    <w:qFormat/>
    <w:rsid w:val="007307B1"/>
    <w:rPr>
      <w:rFonts w:cs="Times New Roman"/>
      <w:i/>
    </w:rPr>
  </w:style>
  <w:style w:type="character" w:styleId="FollowedHyperlink">
    <w:name w:val="FollowedHyperlink"/>
    <w:basedOn w:val="DefaultParagraphFont"/>
    <w:uiPriority w:val="99"/>
    <w:rsid w:val="0039496A"/>
    <w:rPr>
      <w:rFonts w:cs="Times New Roman"/>
      <w:color w:val="800080"/>
      <w:u w:val="single"/>
    </w:rPr>
  </w:style>
  <w:style w:type="character" w:styleId="Hyperlink">
    <w:name w:val="Hyperlink"/>
    <w:basedOn w:val="DefaultParagraphFont"/>
    <w:uiPriority w:val="99"/>
    <w:rsid w:val="007D2817"/>
    <w:rPr>
      <w:rFonts w:cs="Times New Roman"/>
      <w:color w:val="0000FF"/>
      <w:u w:val="single"/>
    </w:rPr>
  </w:style>
  <w:style w:type="paragraph" w:styleId="ListParagraph">
    <w:name w:val="List Paragraph"/>
    <w:basedOn w:val="Normal"/>
    <w:uiPriority w:val="34"/>
    <w:qFormat/>
    <w:rsid w:val="002E7719"/>
    <w:pPr>
      <w:ind w:left="720"/>
    </w:pPr>
  </w:style>
  <w:style w:type="character" w:customStyle="1" w:styleId="Heading2Char">
    <w:name w:val="Heading 2 Char"/>
    <w:basedOn w:val="DefaultParagraphFont"/>
    <w:link w:val="Heading2"/>
    <w:rsid w:val="00C7101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B50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13958">
      <w:marLeft w:val="120"/>
      <w:marRight w:val="120"/>
      <w:marTop w:val="45"/>
      <w:marBottom w:val="45"/>
      <w:divBdr>
        <w:top w:val="none" w:sz="0" w:space="0" w:color="auto"/>
        <w:left w:val="none" w:sz="0" w:space="0" w:color="auto"/>
        <w:bottom w:val="none" w:sz="0" w:space="0" w:color="auto"/>
        <w:right w:val="none" w:sz="0" w:space="0" w:color="auto"/>
      </w:divBdr>
      <w:divsChild>
        <w:div w:id="1797213965">
          <w:marLeft w:val="0"/>
          <w:marRight w:val="0"/>
          <w:marTop w:val="0"/>
          <w:marBottom w:val="0"/>
          <w:divBdr>
            <w:top w:val="none" w:sz="0" w:space="0" w:color="auto"/>
            <w:left w:val="none" w:sz="0" w:space="0" w:color="auto"/>
            <w:bottom w:val="none" w:sz="0" w:space="0" w:color="auto"/>
            <w:right w:val="none" w:sz="0" w:space="0" w:color="auto"/>
          </w:divBdr>
          <w:divsChild>
            <w:div w:id="1797213969">
              <w:marLeft w:val="240"/>
              <w:marRight w:val="240"/>
              <w:marTop w:val="0"/>
              <w:marBottom w:val="0"/>
              <w:divBdr>
                <w:top w:val="none" w:sz="0" w:space="0" w:color="auto"/>
                <w:left w:val="none" w:sz="0" w:space="0" w:color="auto"/>
                <w:bottom w:val="none" w:sz="0" w:space="0" w:color="auto"/>
                <w:right w:val="none" w:sz="0" w:space="0" w:color="auto"/>
              </w:divBdr>
              <w:divsChild>
                <w:div w:id="17972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3960">
      <w:marLeft w:val="0"/>
      <w:marRight w:val="0"/>
      <w:marTop w:val="0"/>
      <w:marBottom w:val="0"/>
      <w:divBdr>
        <w:top w:val="none" w:sz="0" w:space="0" w:color="auto"/>
        <w:left w:val="none" w:sz="0" w:space="0" w:color="auto"/>
        <w:bottom w:val="none" w:sz="0" w:space="0" w:color="auto"/>
        <w:right w:val="none" w:sz="0" w:space="0" w:color="auto"/>
      </w:divBdr>
      <w:divsChild>
        <w:div w:id="1797213968">
          <w:marLeft w:val="0"/>
          <w:marRight w:val="0"/>
          <w:marTop w:val="0"/>
          <w:marBottom w:val="0"/>
          <w:divBdr>
            <w:top w:val="none" w:sz="0" w:space="0" w:color="auto"/>
            <w:left w:val="none" w:sz="0" w:space="0" w:color="auto"/>
            <w:bottom w:val="none" w:sz="0" w:space="0" w:color="auto"/>
            <w:right w:val="none" w:sz="0" w:space="0" w:color="auto"/>
          </w:divBdr>
          <w:divsChild>
            <w:div w:id="1797213953">
              <w:marLeft w:val="0"/>
              <w:marRight w:val="0"/>
              <w:marTop w:val="0"/>
              <w:marBottom w:val="0"/>
              <w:divBdr>
                <w:top w:val="none" w:sz="0" w:space="0" w:color="auto"/>
                <w:left w:val="none" w:sz="0" w:space="0" w:color="auto"/>
                <w:bottom w:val="none" w:sz="0" w:space="0" w:color="auto"/>
                <w:right w:val="none" w:sz="0" w:space="0" w:color="auto"/>
              </w:divBdr>
            </w:div>
            <w:div w:id="1797213955">
              <w:marLeft w:val="0"/>
              <w:marRight w:val="0"/>
              <w:marTop w:val="0"/>
              <w:marBottom w:val="0"/>
              <w:divBdr>
                <w:top w:val="none" w:sz="0" w:space="0" w:color="auto"/>
                <w:left w:val="none" w:sz="0" w:space="0" w:color="auto"/>
                <w:bottom w:val="none" w:sz="0" w:space="0" w:color="auto"/>
                <w:right w:val="none" w:sz="0" w:space="0" w:color="auto"/>
              </w:divBdr>
            </w:div>
            <w:div w:id="1797213956">
              <w:marLeft w:val="0"/>
              <w:marRight w:val="0"/>
              <w:marTop w:val="0"/>
              <w:marBottom w:val="0"/>
              <w:divBdr>
                <w:top w:val="none" w:sz="0" w:space="0" w:color="auto"/>
                <w:left w:val="none" w:sz="0" w:space="0" w:color="auto"/>
                <w:bottom w:val="none" w:sz="0" w:space="0" w:color="auto"/>
                <w:right w:val="none" w:sz="0" w:space="0" w:color="auto"/>
              </w:divBdr>
            </w:div>
            <w:div w:id="1797213957">
              <w:marLeft w:val="0"/>
              <w:marRight w:val="0"/>
              <w:marTop w:val="0"/>
              <w:marBottom w:val="0"/>
              <w:divBdr>
                <w:top w:val="none" w:sz="0" w:space="0" w:color="auto"/>
                <w:left w:val="none" w:sz="0" w:space="0" w:color="auto"/>
                <w:bottom w:val="none" w:sz="0" w:space="0" w:color="auto"/>
                <w:right w:val="none" w:sz="0" w:space="0" w:color="auto"/>
              </w:divBdr>
            </w:div>
            <w:div w:id="1797213959">
              <w:marLeft w:val="0"/>
              <w:marRight w:val="0"/>
              <w:marTop w:val="0"/>
              <w:marBottom w:val="0"/>
              <w:divBdr>
                <w:top w:val="none" w:sz="0" w:space="0" w:color="auto"/>
                <w:left w:val="none" w:sz="0" w:space="0" w:color="auto"/>
                <w:bottom w:val="none" w:sz="0" w:space="0" w:color="auto"/>
                <w:right w:val="none" w:sz="0" w:space="0" w:color="auto"/>
              </w:divBdr>
            </w:div>
            <w:div w:id="1797213961">
              <w:marLeft w:val="0"/>
              <w:marRight w:val="0"/>
              <w:marTop w:val="0"/>
              <w:marBottom w:val="0"/>
              <w:divBdr>
                <w:top w:val="none" w:sz="0" w:space="0" w:color="auto"/>
                <w:left w:val="none" w:sz="0" w:space="0" w:color="auto"/>
                <w:bottom w:val="none" w:sz="0" w:space="0" w:color="auto"/>
                <w:right w:val="none" w:sz="0" w:space="0" w:color="auto"/>
              </w:divBdr>
            </w:div>
            <w:div w:id="1797213962">
              <w:marLeft w:val="0"/>
              <w:marRight w:val="0"/>
              <w:marTop w:val="0"/>
              <w:marBottom w:val="0"/>
              <w:divBdr>
                <w:top w:val="none" w:sz="0" w:space="0" w:color="auto"/>
                <w:left w:val="none" w:sz="0" w:space="0" w:color="auto"/>
                <w:bottom w:val="none" w:sz="0" w:space="0" w:color="auto"/>
                <w:right w:val="none" w:sz="0" w:space="0" w:color="auto"/>
              </w:divBdr>
            </w:div>
            <w:div w:id="1797213963">
              <w:marLeft w:val="0"/>
              <w:marRight w:val="0"/>
              <w:marTop w:val="0"/>
              <w:marBottom w:val="0"/>
              <w:divBdr>
                <w:top w:val="none" w:sz="0" w:space="0" w:color="auto"/>
                <w:left w:val="none" w:sz="0" w:space="0" w:color="auto"/>
                <w:bottom w:val="none" w:sz="0" w:space="0" w:color="auto"/>
                <w:right w:val="none" w:sz="0" w:space="0" w:color="auto"/>
              </w:divBdr>
            </w:div>
            <w:div w:id="1797213964">
              <w:marLeft w:val="0"/>
              <w:marRight w:val="0"/>
              <w:marTop w:val="0"/>
              <w:marBottom w:val="0"/>
              <w:divBdr>
                <w:top w:val="none" w:sz="0" w:space="0" w:color="auto"/>
                <w:left w:val="none" w:sz="0" w:space="0" w:color="auto"/>
                <w:bottom w:val="none" w:sz="0" w:space="0" w:color="auto"/>
                <w:right w:val="none" w:sz="0" w:space="0" w:color="auto"/>
              </w:divBdr>
            </w:div>
            <w:div w:id="1797213966">
              <w:marLeft w:val="0"/>
              <w:marRight w:val="0"/>
              <w:marTop w:val="0"/>
              <w:marBottom w:val="0"/>
              <w:divBdr>
                <w:top w:val="none" w:sz="0" w:space="0" w:color="auto"/>
                <w:left w:val="none" w:sz="0" w:space="0" w:color="auto"/>
                <w:bottom w:val="none" w:sz="0" w:space="0" w:color="auto"/>
                <w:right w:val="none" w:sz="0" w:space="0" w:color="auto"/>
              </w:divBdr>
            </w:div>
            <w:div w:id="1797213967">
              <w:marLeft w:val="0"/>
              <w:marRight w:val="0"/>
              <w:marTop w:val="0"/>
              <w:marBottom w:val="0"/>
              <w:divBdr>
                <w:top w:val="none" w:sz="0" w:space="0" w:color="auto"/>
                <w:left w:val="none" w:sz="0" w:space="0" w:color="auto"/>
                <w:bottom w:val="none" w:sz="0" w:space="0" w:color="auto"/>
                <w:right w:val="none" w:sz="0" w:space="0" w:color="auto"/>
              </w:divBdr>
            </w:div>
            <w:div w:id="17972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ADVISORY COMMITTEE OF HUMAN RIGHT (PACHR)</dc:title>
  <dc:subject/>
  <dc:creator>TrentEmployee</dc:creator>
  <cp:keywords/>
  <dc:description/>
  <cp:lastModifiedBy>Andrea Walsh</cp:lastModifiedBy>
  <cp:revision>4</cp:revision>
  <cp:lastPrinted>2013-01-04T20:41:00Z</cp:lastPrinted>
  <dcterms:created xsi:type="dcterms:W3CDTF">2014-04-02T16:57:00Z</dcterms:created>
  <dcterms:modified xsi:type="dcterms:W3CDTF">2017-08-25T18:07:00Z</dcterms:modified>
</cp:coreProperties>
</file>